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4D58B" w14:textId="669C8615" w:rsidR="00F77130" w:rsidRPr="00F77130" w:rsidRDefault="00F77130" w:rsidP="00F77130">
      <w:pPr>
        <w:jc w:val="center"/>
        <w:rPr>
          <w:b/>
          <w:bCs/>
          <w:sz w:val="28"/>
          <w:szCs w:val="28"/>
        </w:rPr>
      </w:pPr>
      <w:bookmarkStart w:id="0" w:name="_Hlk44435719"/>
      <w:r w:rsidRPr="00F77130">
        <w:rPr>
          <w:b/>
          <w:bCs/>
          <w:sz w:val="28"/>
          <w:szCs w:val="28"/>
        </w:rPr>
        <w:t>Blended Course- Risk in Financial Services</w:t>
      </w:r>
    </w:p>
    <w:p w14:paraId="5F6DD5D3" w14:textId="6F3A35A6" w:rsidR="00F77130" w:rsidRPr="00037042" w:rsidRDefault="00F77130" w:rsidP="00F77130">
      <w:pPr>
        <w:pBdr>
          <w:top w:val="single" w:sz="4" w:space="1" w:color="auto"/>
          <w:left w:val="single" w:sz="4" w:space="4" w:color="auto"/>
          <w:bottom w:val="single" w:sz="4" w:space="1" w:color="auto"/>
          <w:right w:val="single" w:sz="4" w:space="4" w:color="auto"/>
        </w:pBdr>
        <w:spacing w:after="0" w:line="240" w:lineRule="auto"/>
        <w:ind w:left="1304" w:right="1304"/>
        <w:jc w:val="center"/>
        <w:rPr>
          <w:rFonts w:cstheme="minorHAnsi"/>
          <w:b/>
          <w:bCs/>
          <w:sz w:val="28"/>
          <w:szCs w:val="28"/>
        </w:rPr>
      </w:pPr>
      <w:r w:rsidRPr="00037042">
        <w:rPr>
          <w:rFonts w:cstheme="minorHAnsi"/>
          <w:b/>
          <w:bCs/>
          <w:sz w:val="28"/>
          <w:szCs w:val="28"/>
        </w:rPr>
        <w:t>RBI</w:t>
      </w:r>
      <w:r w:rsidR="00D8628C">
        <w:rPr>
          <w:rFonts w:cstheme="minorHAnsi"/>
          <w:b/>
          <w:bCs/>
          <w:sz w:val="28"/>
          <w:szCs w:val="28"/>
        </w:rPr>
        <w:t xml:space="preserve"> and</w:t>
      </w:r>
      <w:r w:rsidRPr="00037042">
        <w:rPr>
          <w:rFonts w:cstheme="minorHAnsi"/>
          <w:b/>
          <w:bCs/>
          <w:sz w:val="28"/>
          <w:szCs w:val="28"/>
        </w:rPr>
        <w:t xml:space="preserve"> FEDAI Notifications during the period 1st January 2020 to 30th June 2020</w:t>
      </w:r>
    </w:p>
    <w:p w14:paraId="13B0F179" w14:textId="77777777" w:rsidR="00F77130" w:rsidRDefault="00F77130" w:rsidP="00F77130">
      <w:pPr>
        <w:spacing w:after="0" w:line="240" w:lineRule="auto"/>
        <w:jc w:val="both"/>
        <w:rPr>
          <w:rFonts w:ascii="Times New Roman" w:hAnsi="Times New Roman" w:cs="Times New Roman"/>
          <w:b/>
          <w:bCs/>
          <w:sz w:val="24"/>
          <w:szCs w:val="24"/>
        </w:rPr>
      </w:pPr>
    </w:p>
    <w:p w14:paraId="062C5F11" w14:textId="77777777" w:rsidR="00F77130" w:rsidRDefault="00F77130" w:rsidP="00F77130">
      <w:pPr>
        <w:spacing w:after="0" w:line="240" w:lineRule="auto"/>
        <w:jc w:val="both"/>
        <w:rPr>
          <w:rFonts w:ascii="Times New Roman" w:hAnsi="Times New Roman" w:cs="Times New Roman"/>
          <w:b/>
          <w:bCs/>
          <w:sz w:val="24"/>
          <w:szCs w:val="24"/>
        </w:rPr>
      </w:pPr>
    </w:p>
    <w:p w14:paraId="6F47B3D0" w14:textId="77777777" w:rsidR="00F77130" w:rsidRDefault="00F77130" w:rsidP="00F77130">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Risk Management and Inter-bank Dealings- Permitting AD Cat-I banks to voluntarily undertake user and Inter-Bank transactions beyond onshore market hours</w:t>
      </w:r>
    </w:p>
    <w:p w14:paraId="2CCA2BF3" w14:textId="77777777" w:rsidR="00F77130" w:rsidRPr="00C902C8" w:rsidRDefault="00F77130" w:rsidP="00F77130">
      <w:pPr>
        <w:spacing w:after="0" w:line="240" w:lineRule="auto"/>
        <w:jc w:val="both"/>
        <w:rPr>
          <w:rFonts w:ascii="Times New Roman" w:hAnsi="Times New Roman" w:cs="Times New Roman"/>
          <w:b/>
          <w:bCs/>
          <w:sz w:val="24"/>
          <w:szCs w:val="24"/>
        </w:rPr>
      </w:pPr>
    </w:p>
    <w:p w14:paraId="6304C6A4" w14:textId="77777777" w:rsidR="00F77130" w:rsidRPr="00C902C8" w:rsidRDefault="00F77130" w:rsidP="00F7713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RBI/2019-20/136 A.P. (DIR Series) Circular No. 15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January 6, 2020</w:t>
      </w:r>
    </w:p>
    <w:p w14:paraId="494578B7" w14:textId="77777777" w:rsidR="00F77130" w:rsidRPr="00C902C8" w:rsidRDefault="00F77130" w:rsidP="00F77130">
      <w:pPr>
        <w:spacing w:after="0" w:line="240" w:lineRule="auto"/>
        <w:jc w:val="both"/>
        <w:rPr>
          <w:rFonts w:ascii="Times New Roman" w:hAnsi="Times New Roman" w:cs="Times New Roman"/>
          <w:sz w:val="24"/>
          <w:szCs w:val="24"/>
        </w:rPr>
      </w:pPr>
    </w:p>
    <w:p w14:paraId="0934D6FB" w14:textId="77777777" w:rsidR="00F77130" w:rsidRPr="00C902C8" w:rsidRDefault="00F77130" w:rsidP="00F7713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Authorised Dealers Category-I</w:t>
      </w:r>
    </w:p>
    <w:p w14:paraId="4B280E22" w14:textId="77777777" w:rsidR="00F77130" w:rsidRPr="00C902C8" w:rsidRDefault="00F77130" w:rsidP="00F77130">
      <w:pPr>
        <w:spacing w:after="0" w:line="240" w:lineRule="auto"/>
        <w:jc w:val="both"/>
        <w:rPr>
          <w:rFonts w:ascii="Times New Roman" w:hAnsi="Times New Roman" w:cs="Times New Roman"/>
          <w:sz w:val="24"/>
          <w:szCs w:val="24"/>
        </w:rPr>
      </w:pPr>
    </w:p>
    <w:p w14:paraId="5AB31BF8" w14:textId="77777777" w:rsidR="00F77130" w:rsidRPr="00C902C8" w:rsidRDefault="00F77130" w:rsidP="00F77130">
      <w:pPr>
        <w:spacing w:after="0" w:line="240" w:lineRule="auto"/>
        <w:jc w:val="both"/>
        <w:rPr>
          <w:rFonts w:ascii="Times New Roman" w:hAnsi="Times New Roman" w:cs="Times New Roman"/>
          <w:sz w:val="24"/>
          <w:szCs w:val="24"/>
        </w:rPr>
      </w:pPr>
    </w:p>
    <w:p w14:paraId="2444EF55" w14:textId="77777777" w:rsidR="00F77130" w:rsidRPr="00C902C8" w:rsidRDefault="00F77130" w:rsidP="00F7713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Attention of Authorised Dealers (ADs) is invited to the Foreign Exchange Management (Foreign Exchange Derivative Contracts) Regulations, 2000 notified vide Notification No. FEMA.25/RB-2000 dated May 3, 2000) issued under clause (h) of sub-section (2) of Section 47 of FEMA, 1999 (Act 42 of 1999), as amended from time to time and the Master Direction- Risk Management and Inter-bank Dealing dated July 05, 2016, as amended from time to time.</w:t>
      </w:r>
    </w:p>
    <w:p w14:paraId="039E5B7C" w14:textId="77777777" w:rsidR="00F77130" w:rsidRPr="00C902C8" w:rsidRDefault="00F77130" w:rsidP="00F77130">
      <w:pPr>
        <w:spacing w:after="0" w:line="240" w:lineRule="auto"/>
        <w:jc w:val="both"/>
        <w:rPr>
          <w:rFonts w:ascii="Times New Roman" w:hAnsi="Times New Roman" w:cs="Times New Roman"/>
          <w:sz w:val="24"/>
          <w:szCs w:val="24"/>
        </w:rPr>
      </w:pPr>
    </w:p>
    <w:p w14:paraId="6D286216" w14:textId="77777777" w:rsidR="00F77130" w:rsidRPr="00C902C8" w:rsidRDefault="00F77130" w:rsidP="00F7713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As announced in the Statement of Developmental and Regulatory Policies dated October 04, 2019 it has been decided to accept the recommendation of the Task Force on Offshore Rupee Market to permit AD Cat-I banks to offer foreign exchange prices to users at all times, out of their Indian books, either by a domestic sales team or through their overseas branches.</w:t>
      </w:r>
    </w:p>
    <w:p w14:paraId="4147CF1E" w14:textId="77777777" w:rsidR="00F77130" w:rsidRPr="00C902C8" w:rsidRDefault="00F77130" w:rsidP="00F77130">
      <w:pPr>
        <w:spacing w:after="0" w:line="240" w:lineRule="auto"/>
        <w:jc w:val="both"/>
        <w:rPr>
          <w:rFonts w:ascii="Times New Roman" w:hAnsi="Times New Roman" w:cs="Times New Roman"/>
          <w:sz w:val="24"/>
          <w:szCs w:val="24"/>
        </w:rPr>
      </w:pPr>
    </w:p>
    <w:p w14:paraId="7AE185BD" w14:textId="77777777" w:rsidR="00F77130" w:rsidRPr="00C902C8" w:rsidRDefault="00F77130" w:rsidP="00F7713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Accordingly, the following section is being added in Part C (Inter-Bank Foreign Exchange Dealings) of the Master Direction- Risk Management and Inter-Bank Dealings:</w:t>
      </w:r>
    </w:p>
    <w:p w14:paraId="38D4ADAE" w14:textId="77777777" w:rsidR="00F77130" w:rsidRPr="00C902C8" w:rsidRDefault="00F77130" w:rsidP="00F77130">
      <w:pPr>
        <w:spacing w:after="0" w:line="240" w:lineRule="auto"/>
        <w:jc w:val="both"/>
        <w:rPr>
          <w:rFonts w:ascii="Times New Roman" w:hAnsi="Times New Roman" w:cs="Times New Roman"/>
          <w:sz w:val="24"/>
          <w:szCs w:val="24"/>
        </w:rPr>
      </w:pPr>
    </w:p>
    <w:p w14:paraId="5217B62A" w14:textId="77777777" w:rsidR="00F77130" w:rsidRPr="00C902C8" w:rsidRDefault="00F77130" w:rsidP="00F77130">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“6. Customer and inter-bank transactions beyond onshore market hours</w:t>
      </w:r>
    </w:p>
    <w:p w14:paraId="72B44DCF" w14:textId="77777777" w:rsidR="00F77130" w:rsidRPr="00C902C8" w:rsidRDefault="00F77130" w:rsidP="00F77130">
      <w:pPr>
        <w:spacing w:after="0" w:line="240" w:lineRule="auto"/>
        <w:jc w:val="both"/>
        <w:rPr>
          <w:rFonts w:ascii="Times New Roman" w:hAnsi="Times New Roman" w:cs="Times New Roman"/>
          <w:sz w:val="24"/>
          <w:szCs w:val="24"/>
        </w:rPr>
      </w:pPr>
    </w:p>
    <w:p w14:paraId="0A19F544" w14:textId="77777777" w:rsidR="00F77130" w:rsidRPr="00C902C8" w:rsidRDefault="00F77130" w:rsidP="00F7713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Authorised dealers may undertake customer (persons resident in India and persons resident outside India) and inter-bank transactions beyond onshore market hours. Transactions with persons resident outside India, through their foreign branches and subsidiaries may also be undertaken beyond onshore market hours.”</w:t>
      </w:r>
    </w:p>
    <w:p w14:paraId="20E2D6F2" w14:textId="77777777" w:rsidR="00F77130" w:rsidRPr="00C902C8" w:rsidRDefault="00F77130" w:rsidP="00F77130">
      <w:pPr>
        <w:spacing w:after="0" w:line="240" w:lineRule="auto"/>
        <w:jc w:val="both"/>
        <w:rPr>
          <w:rFonts w:ascii="Times New Roman" w:hAnsi="Times New Roman" w:cs="Times New Roman"/>
          <w:sz w:val="24"/>
          <w:szCs w:val="24"/>
        </w:rPr>
      </w:pPr>
    </w:p>
    <w:p w14:paraId="395CBFF5" w14:textId="77777777" w:rsidR="00F77130" w:rsidRPr="00C902C8" w:rsidRDefault="00F77130" w:rsidP="00F7713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The directions contained in this circular have been issued under sections 10(4) and 11(1) of the Foreign Exchange Management Act, 1999 (42 of 1999) and are without prejudice to permissions/approvals, if any, required under any other law.</w:t>
      </w:r>
    </w:p>
    <w:p w14:paraId="363CDCC4" w14:textId="77777777" w:rsidR="00F77130" w:rsidRPr="00C902C8" w:rsidRDefault="00F77130" w:rsidP="00F77130">
      <w:pPr>
        <w:pBdr>
          <w:bottom w:val="single" w:sz="12" w:space="1" w:color="auto"/>
        </w:pBdr>
        <w:spacing w:after="0" w:line="240" w:lineRule="auto"/>
        <w:jc w:val="both"/>
        <w:rPr>
          <w:rFonts w:ascii="Times New Roman" w:hAnsi="Times New Roman" w:cs="Times New Roman"/>
          <w:sz w:val="24"/>
          <w:szCs w:val="24"/>
        </w:rPr>
      </w:pPr>
    </w:p>
    <w:p w14:paraId="57EE1EF9" w14:textId="77777777" w:rsidR="00F77130" w:rsidRPr="00C902C8" w:rsidRDefault="00F77130" w:rsidP="00F77130">
      <w:pPr>
        <w:spacing w:after="0" w:line="240" w:lineRule="auto"/>
        <w:jc w:val="both"/>
        <w:rPr>
          <w:rFonts w:ascii="Times New Roman" w:hAnsi="Times New Roman" w:cs="Times New Roman"/>
          <w:sz w:val="24"/>
          <w:szCs w:val="24"/>
        </w:rPr>
      </w:pPr>
    </w:p>
    <w:p w14:paraId="7146EFD7" w14:textId="77777777" w:rsidR="00F77130" w:rsidRDefault="00F77130" w:rsidP="00F77130">
      <w:pPr>
        <w:spacing w:after="0" w:line="240" w:lineRule="auto"/>
        <w:jc w:val="both"/>
        <w:rPr>
          <w:rFonts w:ascii="Times New Roman" w:hAnsi="Times New Roman" w:cs="Times New Roman"/>
          <w:b/>
          <w:bCs/>
          <w:sz w:val="24"/>
          <w:szCs w:val="24"/>
        </w:rPr>
      </w:pPr>
    </w:p>
    <w:p w14:paraId="496BF92D" w14:textId="77777777" w:rsidR="00F77130" w:rsidRDefault="00F77130" w:rsidP="00F77130">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Risk Management and Inter-bank Dealings- Participation of Banks in Offshore Non-deliverable Rupee Derivative Markets</w:t>
      </w:r>
    </w:p>
    <w:p w14:paraId="4E4306BE" w14:textId="77777777" w:rsidR="00F77130" w:rsidRPr="00C902C8" w:rsidRDefault="00F77130" w:rsidP="00F77130">
      <w:pPr>
        <w:spacing w:after="0" w:line="240" w:lineRule="auto"/>
        <w:jc w:val="both"/>
        <w:rPr>
          <w:rFonts w:ascii="Times New Roman" w:hAnsi="Times New Roman" w:cs="Times New Roman"/>
          <w:b/>
          <w:bCs/>
          <w:sz w:val="24"/>
          <w:szCs w:val="24"/>
        </w:rPr>
      </w:pPr>
    </w:p>
    <w:p w14:paraId="7C66873A" w14:textId="77777777" w:rsidR="00F77130" w:rsidRPr="00C902C8" w:rsidRDefault="00F77130" w:rsidP="00F7713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RBI/2019-20/193 A.P. (DIR Series) Circular No.23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March 27, 2020</w:t>
      </w:r>
    </w:p>
    <w:p w14:paraId="045EC4F8" w14:textId="77777777" w:rsidR="00F77130" w:rsidRPr="00C902C8" w:rsidRDefault="00F77130" w:rsidP="00F77130">
      <w:pPr>
        <w:spacing w:after="0" w:line="240" w:lineRule="auto"/>
        <w:jc w:val="both"/>
        <w:rPr>
          <w:rFonts w:ascii="Times New Roman" w:hAnsi="Times New Roman" w:cs="Times New Roman"/>
          <w:sz w:val="24"/>
          <w:szCs w:val="24"/>
        </w:rPr>
      </w:pPr>
    </w:p>
    <w:p w14:paraId="42B70C2D" w14:textId="77777777" w:rsidR="00F77130" w:rsidRPr="00C902C8" w:rsidRDefault="00F77130" w:rsidP="00F7713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Authorised Dealer Category-I Banks</w:t>
      </w:r>
    </w:p>
    <w:p w14:paraId="035AE907" w14:textId="77777777" w:rsidR="00F77130" w:rsidRPr="00C902C8" w:rsidRDefault="00F77130" w:rsidP="00F77130">
      <w:pPr>
        <w:spacing w:after="0" w:line="240" w:lineRule="auto"/>
        <w:jc w:val="both"/>
        <w:rPr>
          <w:rFonts w:ascii="Times New Roman" w:hAnsi="Times New Roman" w:cs="Times New Roman"/>
          <w:sz w:val="24"/>
          <w:szCs w:val="24"/>
        </w:rPr>
      </w:pPr>
    </w:p>
    <w:p w14:paraId="51AA5A61" w14:textId="77777777" w:rsidR="00F77130" w:rsidRPr="00C902C8" w:rsidRDefault="00F77130" w:rsidP="00F7713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Attention is invited to the Foreign Exchange Management (Foreign Exchange Derivative Contracts) Regulations, 2000 (Notification no. FEMA.25/RB-2000 dated May 3, 2000), as amended from time to time, and Master Direction- Risk Management and Inter-bank Dealings dated July 06, 2016, as updated from time to time (Master Direction)</w:t>
      </w:r>
    </w:p>
    <w:p w14:paraId="0F5A14DB" w14:textId="77777777" w:rsidR="00F77130" w:rsidRPr="00C902C8" w:rsidRDefault="00F77130" w:rsidP="00F77130">
      <w:pPr>
        <w:spacing w:after="0" w:line="240" w:lineRule="auto"/>
        <w:jc w:val="both"/>
        <w:rPr>
          <w:rFonts w:ascii="Times New Roman" w:hAnsi="Times New Roman" w:cs="Times New Roman"/>
          <w:sz w:val="24"/>
          <w:szCs w:val="24"/>
        </w:rPr>
      </w:pPr>
    </w:p>
    <w:p w14:paraId="0DDED254" w14:textId="77777777" w:rsidR="00F77130" w:rsidRPr="00C902C8" w:rsidRDefault="00F77130" w:rsidP="00F7713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As stated in paragraph 10 of the Statement on Developmental and Regulatory Policies dated March 27, 2020, banks in India having an Authorised Dealer Category-1 license under Foreign Exchange Management Act (FEMA), 1999, and operating International Financial Services Centre (IFSC) Banking Units (IBUs), shall be eligible to offer non-deliverable derivative contracts involving the Rupee, or otherwise, to persons not resident in India. Banks can undertake such transactions through their branches in India, through their IBUs or through their foreign branches (in case of foreign banks operating in India, through any branch of the parent bank).</w:t>
      </w:r>
    </w:p>
    <w:p w14:paraId="38379FE8" w14:textId="77777777" w:rsidR="00F77130" w:rsidRPr="00C902C8" w:rsidRDefault="00F77130" w:rsidP="00F77130">
      <w:pPr>
        <w:spacing w:after="0" w:line="240" w:lineRule="auto"/>
        <w:jc w:val="both"/>
        <w:rPr>
          <w:rFonts w:ascii="Times New Roman" w:hAnsi="Times New Roman" w:cs="Times New Roman"/>
          <w:sz w:val="24"/>
          <w:szCs w:val="24"/>
        </w:rPr>
      </w:pPr>
    </w:p>
    <w:p w14:paraId="48FE5462" w14:textId="77777777" w:rsidR="00F77130" w:rsidRPr="00C902C8" w:rsidRDefault="00F77130" w:rsidP="00F7713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Accordingly, the following amendments are being made to the Master Direction. The amendments shall come into effect from June 1, 2020.</w:t>
      </w:r>
    </w:p>
    <w:p w14:paraId="5FF809EB" w14:textId="77777777" w:rsidR="00F77130" w:rsidRPr="00C902C8" w:rsidRDefault="00F77130" w:rsidP="00F77130">
      <w:pPr>
        <w:spacing w:after="0" w:line="240" w:lineRule="auto"/>
        <w:jc w:val="both"/>
        <w:rPr>
          <w:rFonts w:ascii="Times New Roman" w:hAnsi="Times New Roman" w:cs="Times New Roman"/>
          <w:sz w:val="24"/>
          <w:szCs w:val="24"/>
        </w:rPr>
      </w:pPr>
    </w:p>
    <w:p w14:paraId="49A15FCD" w14:textId="77777777" w:rsidR="00F77130" w:rsidRPr="00C902C8" w:rsidRDefault="00F77130" w:rsidP="00F7713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 In Part-A (Section II) of the Master Direction, a new paragraph (9A) is added as follows:</w:t>
      </w:r>
    </w:p>
    <w:p w14:paraId="4EE516BC" w14:textId="77777777" w:rsidR="00F77130" w:rsidRPr="00C902C8" w:rsidRDefault="00F77130" w:rsidP="00F77130">
      <w:pPr>
        <w:spacing w:after="0" w:line="240" w:lineRule="auto"/>
        <w:jc w:val="both"/>
        <w:rPr>
          <w:rFonts w:ascii="Times New Roman" w:hAnsi="Times New Roman" w:cs="Times New Roman"/>
          <w:sz w:val="24"/>
          <w:szCs w:val="24"/>
        </w:rPr>
      </w:pPr>
    </w:p>
    <w:p w14:paraId="45A60D47" w14:textId="77777777" w:rsidR="00F77130" w:rsidRPr="00C902C8" w:rsidRDefault="00F77130" w:rsidP="00F7713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“9A. Non-deliverable derivative contracts (NDDC)</w:t>
      </w:r>
    </w:p>
    <w:p w14:paraId="0E58349D" w14:textId="77777777" w:rsidR="00F77130" w:rsidRPr="00C902C8" w:rsidRDefault="00F77130" w:rsidP="00F77130">
      <w:pPr>
        <w:spacing w:after="0" w:line="240" w:lineRule="auto"/>
        <w:jc w:val="both"/>
        <w:rPr>
          <w:rFonts w:ascii="Times New Roman" w:hAnsi="Times New Roman" w:cs="Times New Roman"/>
          <w:sz w:val="24"/>
          <w:szCs w:val="24"/>
        </w:rPr>
      </w:pPr>
    </w:p>
    <w:p w14:paraId="68E71A03" w14:textId="77777777" w:rsidR="00F77130" w:rsidRPr="00C902C8" w:rsidRDefault="00F77130" w:rsidP="00F7713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 Non-deliverable derivative contract (NDDC) means a foreign exchange derivative contract involving the Rupee, entered into with a person not resident in India and which is settled without involving delivery of Rupee.</w:t>
      </w:r>
    </w:p>
    <w:p w14:paraId="04DDE106" w14:textId="77777777" w:rsidR="00F77130" w:rsidRPr="00C902C8" w:rsidRDefault="00F77130" w:rsidP="00F77130">
      <w:pPr>
        <w:spacing w:after="0" w:line="240" w:lineRule="auto"/>
        <w:jc w:val="both"/>
        <w:rPr>
          <w:rFonts w:ascii="Times New Roman" w:hAnsi="Times New Roman" w:cs="Times New Roman"/>
          <w:sz w:val="24"/>
          <w:szCs w:val="24"/>
        </w:rPr>
      </w:pPr>
    </w:p>
    <w:p w14:paraId="4F0E674A" w14:textId="77777777" w:rsidR="00F77130" w:rsidRPr="00C902C8" w:rsidRDefault="00F77130" w:rsidP="00F7713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ii. Banks in India having an Authorised Dealer Category-1 license under FEMA, 1999, and operating International Financial Services Centre (IFSC) Banking Units (IBUs) (as specified in circular no. RBI/2014-15/533.DBR.IBD.BC.14570/ 23.13.004/2014-15 dated April 1, 2015 (as amended from time to time)), shall be eligible to offer non-deliverable derivative contracts involving the Rupee, or otherwise, to persons not resident in India. Banks can undertake such transactions through their IBUs or through their branches in India or through their foreign branches (in case of foreign banks operating in India, through any branch of the parent bank).</w:t>
      </w:r>
    </w:p>
    <w:p w14:paraId="769D5FFD" w14:textId="77777777" w:rsidR="00F77130" w:rsidRPr="00C902C8" w:rsidRDefault="00F77130" w:rsidP="00F77130">
      <w:pPr>
        <w:spacing w:after="0" w:line="240" w:lineRule="auto"/>
        <w:jc w:val="both"/>
        <w:rPr>
          <w:rFonts w:ascii="Times New Roman" w:hAnsi="Times New Roman" w:cs="Times New Roman"/>
          <w:sz w:val="24"/>
          <w:szCs w:val="24"/>
        </w:rPr>
      </w:pPr>
    </w:p>
    <w:p w14:paraId="0E787283" w14:textId="77777777" w:rsidR="00F77130" w:rsidRPr="00C902C8" w:rsidRDefault="00F77130" w:rsidP="00F7713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(b). In Part C of the Master Direction, a new paragraph is added as follows:</w:t>
      </w:r>
    </w:p>
    <w:p w14:paraId="3DCDB9F9" w14:textId="77777777" w:rsidR="00F77130" w:rsidRPr="00C902C8" w:rsidRDefault="00F77130" w:rsidP="00F77130">
      <w:pPr>
        <w:spacing w:after="0" w:line="240" w:lineRule="auto"/>
        <w:jc w:val="both"/>
        <w:rPr>
          <w:rFonts w:ascii="Times New Roman" w:hAnsi="Times New Roman" w:cs="Times New Roman"/>
          <w:sz w:val="24"/>
          <w:szCs w:val="24"/>
        </w:rPr>
      </w:pPr>
    </w:p>
    <w:p w14:paraId="186449A5" w14:textId="77777777" w:rsidR="00F77130" w:rsidRPr="00C902C8" w:rsidRDefault="00F77130" w:rsidP="00F7713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“3A. Transaction in Non-deliverable derivative contracts (NDDC)</w:t>
      </w:r>
    </w:p>
    <w:p w14:paraId="5A69FDA8" w14:textId="77777777" w:rsidR="00F77130" w:rsidRPr="00C902C8" w:rsidRDefault="00F77130" w:rsidP="00F77130">
      <w:pPr>
        <w:spacing w:after="0" w:line="240" w:lineRule="auto"/>
        <w:jc w:val="both"/>
        <w:rPr>
          <w:rFonts w:ascii="Times New Roman" w:hAnsi="Times New Roman" w:cs="Times New Roman"/>
          <w:sz w:val="24"/>
          <w:szCs w:val="24"/>
        </w:rPr>
      </w:pPr>
    </w:p>
    <w:p w14:paraId="2F34F125" w14:textId="77777777" w:rsidR="00F77130" w:rsidRPr="00C902C8" w:rsidRDefault="00F77130" w:rsidP="00F7713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Authorised dealers having an IFSC Banking Unit (IBU) (as specified in circular no.RBI/2014-15/533.DBR.IBD.BC.14570/23.13.004/2014-15 dated April 1, 2015 (as amended from time to time)) may transact in Non-deliverable derivative contracts (NDDCs) with other AD Category 1 banks having IBUs and banks overseas. Banks can undertake such transactions through their IBUs or through their branches in India or through their foreign branches (in case of foreign banks operating in India, through any branch of the parent bank).”</w:t>
      </w:r>
    </w:p>
    <w:p w14:paraId="1D13ED7D" w14:textId="77777777" w:rsidR="00F77130" w:rsidRPr="00C902C8" w:rsidRDefault="00F77130" w:rsidP="00F77130">
      <w:pPr>
        <w:spacing w:after="0" w:line="240" w:lineRule="auto"/>
        <w:jc w:val="both"/>
        <w:rPr>
          <w:rFonts w:ascii="Times New Roman" w:hAnsi="Times New Roman" w:cs="Times New Roman"/>
          <w:sz w:val="24"/>
          <w:szCs w:val="24"/>
        </w:rPr>
      </w:pPr>
    </w:p>
    <w:p w14:paraId="208A8E1B" w14:textId="77777777" w:rsidR="00F77130" w:rsidRPr="00C902C8" w:rsidRDefault="00F77130" w:rsidP="00F7713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The directions contained in this circular have been issued under Sections 10(4) and 11(1) of the Foreign Exchange Management Act, 1999 (42 of 1999) and are without prejudice to permissions /approvals, if any, required under any other law.</w:t>
      </w:r>
    </w:p>
    <w:p w14:paraId="7E7A7666" w14:textId="77777777" w:rsidR="00F77130" w:rsidRPr="00C902C8" w:rsidRDefault="00F77130" w:rsidP="00F77130">
      <w:pPr>
        <w:pBdr>
          <w:bottom w:val="single" w:sz="12" w:space="1" w:color="auto"/>
        </w:pBdr>
        <w:spacing w:after="0" w:line="240" w:lineRule="auto"/>
        <w:jc w:val="both"/>
        <w:rPr>
          <w:rFonts w:ascii="Times New Roman" w:hAnsi="Times New Roman" w:cs="Times New Roman"/>
          <w:sz w:val="24"/>
          <w:szCs w:val="24"/>
        </w:rPr>
      </w:pPr>
    </w:p>
    <w:p w14:paraId="3B1D2A08" w14:textId="77777777" w:rsidR="00F77130" w:rsidRPr="00C902C8" w:rsidRDefault="00F77130" w:rsidP="00F77130">
      <w:pPr>
        <w:spacing w:after="0" w:line="240" w:lineRule="auto"/>
        <w:jc w:val="both"/>
        <w:rPr>
          <w:rFonts w:ascii="Times New Roman" w:hAnsi="Times New Roman" w:cs="Times New Roman"/>
          <w:sz w:val="24"/>
          <w:szCs w:val="24"/>
        </w:rPr>
      </w:pPr>
    </w:p>
    <w:p w14:paraId="4C6C0A3C" w14:textId="77777777" w:rsidR="00F77130" w:rsidRDefault="00F77130" w:rsidP="00F77130">
      <w:pPr>
        <w:spacing w:after="0" w:line="240" w:lineRule="auto"/>
        <w:jc w:val="both"/>
        <w:rPr>
          <w:rFonts w:ascii="Times New Roman" w:hAnsi="Times New Roman" w:cs="Times New Roman"/>
          <w:b/>
          <w:bCs/>
          <w:sz w:val="24"/>
          <w:szCs w:val="24"/>
        </w:rPr>
      </w:pPr>
    </w:p>
    <w:p w14:paraId="67D170A4" w14:textId="77777777" w:rsidR="00F77130" w:rsidRDefault="00F77130" w:rsidP="00F77130">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lastRenderedPageBreak/>
        <w:t>Risk Management and Inter-bank Dealings – Hedging of foreign exchange risk</w:t>
      </w:r>
    </w:p>
    <w:p w14:paraId="68DB4367" w14:textId="77777777" w:rsidR="00F77130" w:rsidRPr="00C902C8" w:rsidRDefault="00F77130" w:rsidP="00F77130">
      <w:pPr>
        <w:spacing w:after="0" w:line="240" w:lineRule="auto"/>
        <w:jc w:val="both"/>
        <w:rPr>
          <w:rFonts w:ascii="Times New Roman" w:hAnsi="Times New Roman" w:cs="Times New Roman"/>
          <w:b/>
          <w:bCs/>
          <w:sz w:val="24"/>
          <w:szCs w:val="24"/>
        </w:rPr>
      </w:pPr>
    </w:p>
    <w:p w14:paraId="3EB5C1FA" w14:textId="77777777" w:rsidR="00F77130" w:rsidRPr="00C902C8" w:rsidRDefault="00F77130" w:rsidP="00F7713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RBI/2019-20/210 A.P.(DIR Series) Circular No. 29</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April 7, 2020</w:t>
      </w:r>
    </w:p>
    <w:p w14:paraId="5DDF5B73" w14:textId="77777777" w:rsidR="00F77130" w:rsidRPr="00C902C8" w:rsidRDefault="00F77130" w:rsidP="00F77130">
      <w:pPr>
        <w:spacing w:after="0" w:line="240" w:lineRule="auto"/>
        <w:jc w:val="both"/>
        <w:rPr>
          <w:rFonts w:ascii="Times New Roman" w:hAnsi="Times New Roman" w:cs="Times New Roman"/>
          <w:sz w:val="24"/>
          <w:szCs w:val="24"/>
        </w:rPr>
      </w:pPr>
    </w:p>
    <w:p w14:paraId="5CC43D7E" w14:textId="77777777" w:rsidR="00F77130" w:rsidRPr="00C902C8" w:rsidRDefault="00F77130" w:rsidP="00F7713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To,</w:t>
      </w:r>
    </w:p>
    <w:p w14:paraId="6F77E822" w14:textId="77777777" w:rsidR="00F77130" w:rsidRPr="00C902C8" w:rsidRDefault="00F77130" w:rsidP="00F7713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Authorised Dealers Category – I</w:t>
      </w:r>
    </w:p>
    <w:p w14:paraId="661146A0" w14:textId="77777777" w:rsidR="00F77130" w:rsidRPr="00C902C8" w:rsidRDefault="00F77130" w:rsidP="00F77130">
      <w:pPr>
        <w:spacing w:after="0" w:line="240" w:lineRule="auto"/>
        <w:jc w:val="both"/>
        <w:rPr>
          <w:rFonts w:ascii="Times New Roman" w:hAnsi="Times New Roman" w:cs="Times New Roman"/>
          <w:sz w:val="24"/>
          <w:szCs w:val="24"/>
        </w:rPr>
      </w:pPr>
    </w:p>
    <w:p w14:paraId="3FCF6614" w14:textId="77777777" w:rsidR="00F77130" w:rsidRPr="00C902C8" w:rsidRDefault="00F77130" w:rsidP="00F7713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Attention of Authorised Dealers Category – I (AD Category – I) banks is invited to the Foreign Exchange Management (Foreign Exchange Derivative Contracts) Regulations, 2000 dated May 3, 2000 (Notification No.FEMA.25/RB-2000 dated May 3, 2000), as amended from time to time and Master Directions on Risk Management and Inter-Bank Dealings dated July 5, 2016, as amended from time to time.</w:t>
      </w:r>
    </w:p>
    <w:p w14:paraId="128BF412" w14:textId="77777777" w:rsidR="00F77130" w:rsidRPr="00C902C8" w:rsidRDefault="00F77130" w:rsidP="00F77130">
      <w:pPr>
        <w:spacing w:after="0" w:line="240" w:lineRule="auto"/>
        <w:jc w:val="both"/>
        <w:rPr>
          <w:rFonts w:ascii="Times New Roman" w:hAnsi="Times New Roman" w:cs="Times New Roman"/>
          <w:sz w:val="24"/>
          <w:szCs w:val="24"/>
        </w:rPr>
      </w:pPr>
    </w:p>
    <w:p w14:paraId="1E1F121C" w14:textId="77777777" w:rsidR="00F77130" w:rsidRPr="00C902C8" w:rsidRDefault="00F77130" w:rsidP="00F7713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As announced in the Statement on Developmental and Regulatory Policies dated December 5, 2019, the existing facilities for non-residents and residents to hedge their foreign exchange risk on account of transactions permitted under Foreign Exchange Management Act (FEMA), 1999 have been revised. The revised directions are provided at Annex–I to this circular. All previous operational guidelines, terms and conditions in this regard shall stand withdrawn from the date that these directions come into effect.</w:t>
      </w:r>
    </w:p>
    <w:p w14:paraId="29067F29" w14:textId="77777777" w:rsidR="00F77130" w:rsidRPr="00C902C8" w:rsidRDefault="00F77130" w:rsidP="00F77130">
      <w:pPr>
        <w:spacing w:after="0" w:line="240" w:lineRule="auto"/>
        <w:jc w:val="both"/>
        <w:rPr>
          <w:rFonts w:ascii="Times New Roman" w:hAnsi="Times New Roman" w:cs="Times New Roman"/>
          <w:sz w:val="24"/>
          <w:szCs w:val="24"/>
        </w:rPr>
      </w:pPr>
    </w:p>
    <w:p w14:paraId="79490A34" w14:textId="77777777" w:rsidR="00F77130" w:rsidRPr="00C902C8" w:rsidRDefault="00F77130" w:rsidP="00F7713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Necessary amendments (Notification No.FEMA.398/RB-2020 dated February 18, 2020) to Foreign Exchange Management (Foreign Exchange Derivatives Contracts) Regulations, 2000 (Notification No.FEMA.25/RB-2000 dated May 3, 2000) (Regulations) have been notified in the Official Gazette vide Gazette Id no. CG-MH-E-06032020-216549 dated March 3, 2020, a copy of which is annexed to this circular. These regulations have been issued under clause (h) of sub-Section (2) of Section 47 of FEMA, 1999 (42 of 1999).</w:t>
      </w:r>
    </w:p>
    <w:p w14:paraId="02196395" w14:textId="77777777" w:rsidR="00F77130" w:rsidRPr="00C902C8" w:rsidRDefault="00F77130" w:rsidP="00F77130">
      <w:pPr>
        <w:spacing w:after="0" w:line="240" w:lineRule="auto"/>
        <w:jc w:val="both"/>
        <w:rPr>
          <w:rFonts w:ascii="Times New Roman" w:hAnsi="Times New Roman" w:cs="Times New Roman"/>
          <w:sz w:val="24"/>
          <w:szCs w:val="24"/>
        </w:rPr>
      </w:pPr>
    </w:p>
    <w:p w14:paraId="230DF3D1" w14:textId="77777777" w:rsidR="00F77130" w:rsidRPr="00C902C8" w:rsidRDefault="00F77130" w:rsidP="00F7713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The directions shall come into effect from June 1, 2020 and replace the existing directions in Part A - Section I and II and Part D of the Master Direction on Risk Management and Interbank Dealings dated July 5, 2016, as amended from time to time.</w:t>
      </w:r>
    </w:p>
    <w:p w14:paraId="694F649A" w14:textId="77777777" w:rsidR="00F77130" w:rsidRPr="00C902C8" w:rsidRDefault="00F77130" w:rsidP="00F77130">
      <w:pPr>
        <w:spacing w:after="0" w:line="240" w:lineRule="auto"/>
        <w:jc w:val="both"/>
        <w:rPr>
          <w:rFonts w:ascii="Times New Roman" w:hAnsi="Times New Roman" w:cs="Times New Roman"/>
          <w:sz w:val="24"/>
          <w:szCs w:val="24"/>
        </w:rPr>
      </w:pPr>
    </w:p>
    <w:p w14:paraId="25D36A53" w14:textId="77777777" w:rsidR="00F77130" w:rsidRPr="00C902C8" w:rsidRDefault="00F77130" w:rsidP="00F7713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5. The following reports prescribed in Part E of the Master Directions on Risk Management and Inter-Bank Dealings dated July 5, 2016, as amended from time to time, shall stand withdrawn from the date that these directions come into effect.</w:t>
      </w:r>
    </w:p>
    <w:p w14:paraId="3AA2A7BA" w14:textId="77777777" w:rsidR="00F77130" w:rsidRPr="00C902C8" w:rsidRDefault="00F77130" w:rsidP="00F77130">
      <w:pPr>
        <w:spacing w:after="0" w:line="240" w:lineRule="auto"/>
        <w:jc w:val="both"/>
        <w:rPr>
          <w:rFonts w:ascii="Times New Roman" w:hAnsi="Times New Roman" w:cs="Times New Roman"/>
          <w:sz w:val="24"/>
          <w:szCs w:val="24"/>
        </w:rPr>
      </w:pPr>
    </w:p>
    <w:p w14:paraId="0D095F8B" w14:textId="77777777" w:rsidR="00F77130" w:rsidRPr="00C902C8" w:rsidRDefault="00F77130" w:rsidP="00F77130">
      <w:pPr>
        <w:pStyle w:val="ListParagraph"/>
        <w:numPr>
          <w:ilvl w:val="0"/>
          <w:numId w:val="4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Cross Currency Derivative Transactions (Half yearly) – Annex IV</w:t>
      </w:r>
    </w:p>
    <w:p w14:paraId="3BA30A39" w14:textId="77777777" w:rsidR="00F77130" w:rsidRPr="00C902C8" w:rsidRDefault="00F77130" w:rsidP="00F77130">
      <w:pPr>
        <w:spacing w:after="0" w:line="240" w:lineRule="auto"/>
        <w:jc w:val="both"/>
        <w:rPr>
          <w:rFonts w:ascii="Times New Roman" w:hAnsi="Times New Roman" w:cs="Times New Roman"/>
          <w:sz w:val="24"/>
          <w:szCs w:val="24"/>
        </w:rPr>
      </w:pPr>
    </w:p>
    <w:p w14:paraId="78CC056B" w14:textId="77777777" w:rsidR="00F77130" w:rsidRPr="00C902C8" w:rsidRDefault="00F77130" w:rsidP="00F77130">
      <w:pPr>
        <w:pStyle w:val="ListParagraph"/>
        <w:numPr>
          <w:ilvl w:val="0"/>
          <w:numId w:val="4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Report on Booking of Forward Contracts on Past Performance Basis (Monthly) – Annex X</w:t>
      </w:r>
    </w:p>
    <w:p w14:paraId="45F8DC79" w14:textId="77777777" w:rsidR="00F77130" w:rsidRPr="00C902C8" w:rsidRDefault="00F77130" w:rsidP="00F77130">
      <w:pPr>
        <w:spacing w:after="0" w:line="240" w:lineRule="auto"/>
        <w:jc w:val="both"/>
        <w:rPr>
          <w:rFonts w:ascii="Times New Roman" w:hAnsi="Times New Roman" w:cs="Times New Roman"/>
          <w:sz w:val="24"/>
          <w:szCs w:val="24"/>
        </w:rPr>
      </w:pPr>
    </w:p>
    <w:p w14:paraId="772ED882" w14:textId="77777777" w:rsidR="00F77130" w:rsidRPr="00C902C8" w:rsidRDefault="00F77130" w:rsidP="00F77130">
      <w:pPr>
        <w:pStyle w:val="ListParagraph"/>
        <w:numPr>
          <w:ilvl w:val="0"/>
          <w:numId w:val="4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Details of Forward cover undertaken by FPI clients (Monthly) – Annex XIII</w:t>
      </w:r>
    </w:p>
    <w:p w14:paraId="5B34E92A" w14:textId="77777777" w:rsidR="00F77130" w:rsidRPr="00C902C8" w:rsidRDefault="00F77130" w:rsidP="00F77130">
      <w:pPr>
        <w:spacing w:after="0" w:line="240" w:lineRule="auto"/>
        <w:jc w:val="both"/>
        <w:rPr>
          <w:rFonts w:ascii="Times New Roman" w:hAnsi="Times New Roman" w:cs="Times New Roman"/>
          <w:sz w:val="24"/>
          <w:szCs w:val="24"/>
        </w:rPr>
      </w:pPr>
    </w:p>
    <w:p w14:paraId="17E1C681" w14:textId="77777777" w:rsidR="00F77130" w:rsidRPr="00C902C8" w:rsidRDefault="00F77130" w:rsidP="00F77130">
      <w:pPr>
        <w:pStyle w:val="ListParagraph"/>
        <w:numPr>
          <w:ilvl w:val="0"/>
          <w:numId w:val="4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Details of Forward Contracts/Options booked and cancelled by SMEs and Resident Individuals, Firms and Companies within the first week of the following month (Quarterly) – Annex XIV</w:t>
      </w:r>
    </w:p>
    <w:p w14:paraId="4B88F8F6" w14:textId="77777777" w:rsidR="00F77130" w:rsidRPr="00C902C8" w:rsidRDefault="00F77130" w:rsidP="00F77130">
      <w:pPr>
        <w:spacing w:after="0" w:line="240" w:lineRule="auto"/>
        <w:jc w:val="both"/>
        <w:rPr>
          <w:rFonts w:ascii="Times New Roman" w:hAnsi="Times New Roman" w:cs="Times New Roman"/>
          <w:sz w:val="24"/>
          <w:szCs w:val="24"/>
        </w:rPr>
      </w:pPr>
    </w:p>
    <w:p w14:paraId="60C3D4C0" w14:textId="77777777" w:rsidR="00F77130" w:rsidRPr="00C902C8" w:rsidRDefault="00F77130" w:rsidP="00F77130">
      <w:pPr>
        <w:pStyle w:val="ListParagraph"/>
        <w:numPr>
          <w:ilvl w:val="0"/>
          <w:numId w:val="4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Derivative Transactions undertaken by Non-Resident Importer/Exporter (Quarterly) – Annex XIX</w:t>
      </w:r>
    </w:p>
    <w:p w14:paraId="53C5AC5B" w14:textId="77777777" w:rsidR="00F77130" w:rsidRPr="00C902C8" w:rsidRDefault="00F77130" w:rsidP="00F77130">
      <w:pPr>
        <w:spacing w:after="0" w:line="240" w:lineRule="auto"/>
        <w:jc w:val="both"/>
        <w:rPr>
          <w:rFonts w:ascii="Times New Roman" w:hAnsi="Times New Roman" w:cs="Times New Roman"/>
          <w:sz w:val="24"/>
          <w:szCs w:val="24"/>
        </w:rPr>
      </w:pPr>
    </w:p>
    <w:p w14:paraId="6171FA65" w14:textId="77777777" w:rsidR="00F77130" w:rsidRPr="00C902C8" w:rsidRDefault="00F77130" w:rsidP="00F7713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6. The directions contained in this circular have been issued under Sections 10(4) and 11(1) of the Foreign Exchange Management Act, 1999 (42 of 1999) and are without prejudice to permissions/ approvals, if any, required under any other law.</w:t>
      </w:r>
    </w:p>
    <w:p w14:paraId="6C9FDEA3" w14:textId="77777777" w:rsidR="00F77130" w:rsidRPr="00C902C8" w:rsidRDefault="00F77130" w:rsidP="00F77130">
      <w:pPr>
        <w:pBdr>
          <w:bottom w:val="single" w:sz="12" w:space="1" w:color="auto"/>
        </w:pBdr>
        <w:spacing w:after="0" w:line="240" w:lineRule="auto"/>
        <w:jc w:val="both"/>
        <w:rPr>
          <w:rFonts w:ascii="Times New Roman" w:hAnsi="Times New Roman" w:cs="Times New Roman"/>
          <w:sz w:val="24"/>
          <w:szCs w:val="24"/>
        </w:rPr>
      </w:pPr>
    </w:p>
    <w:p w14:paraId="4C2D0D46" w14:textId="77777777" w:rsidR="00F77130" w:rsidRPr="00C902C8" w:rsidRDefault="00F77130" w:rsidP="00F77130">
      <w:pPr>
        <w:spacing w:after="0" w:line="240" w:lineRule="auto"/>
        <w:jc w:val="both"/>
        <w:rPr>
          <w:rFonts w:ascii="Times New Roman" w:hAnsi="Times New Roman" w:cs="Times New Roman"/>
          <w:sz w:val="24"/>
          <w:szCs w:val="24"/>
        </w:rPr>
      </w:pPr>
    </w:p>
    <w:p w14:paraId="5B917576" w14:textId="77777777" w:rsidR="00F77130" w:rsidRDefault="00F77130" w:rsidP="00F77130">
      <w:pPr>
        <w:spacing w:after="0" w:line="240" w:lineRule="auto"/>
        <w:jc w:val="both"/>
        <w:rPr>
          <w:rFonts w:ascii="Times New Roman" w:hAnsi="Times New Roman" w:cs="Times New Roman"/>
          <w:b/>
          <w:bCs/>
          <w:sz w:val="24"/>
          <w:szCs w:val="24"/>
        </w:rPr>
      </w:pPr>
      <w:bookmarkStart w:id="1" w:name="_Hlk43632073"/>
    </w:p>
    <w:p w14:paraId="7654134B" w14:textId="77777777" w:rsidR="00F77130" w:rsidRDefault="00F77130" w:rsidP="00F77130">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Risk Management and Inter-bank Dealings – Hedging of Foreign Exchange Risk-Date of Implementation</w:t>
      </w:r>
    </w:p>
    <w:p w14:paraId="127525E0" w14:textId="77777777" w:rsidR="00F77130" w:rsidRPr="00C902C8" w:rsidRDefault="00F77130" w:rsidP="00F77130">
      <w:pPr>
        <w:spacing w:after="0" w:line="240" w:lineRule="auto"/>
        <w:jc w:val="both"/>
        <w:rPr>
          <w:rFonts w:ascii="Times New Roman" w:hAnsi="Times New Roman" w:cs="Times New Roman"/>
          <w:b/>
          <w:bCs/>
          <w:sz w:val="24"/>
          <w:szCs w:val="24"/>
        </w:rPr>
      </w:pPr>
    </w:p>
    <w:p w14:paraId="333ABF25" w14:textId="77777777" w:rsidR="00F77130" w:rsidRPr="00C902C8" w:rsidRDefault="00F77130" w:rsidP="00F7713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RBI/2019-20/232 A.P.(DIR Series) Circular No.31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May 18, 2020</w:t>
      </w:r>
    </w:p>
    <w:p w14:paraId="6FC3ADD4" w14:textId="77777777" w:rsidR="00F77130" w:rsidRPr="00C902C8" w:rsidRDefault="00F77130" w:rsidP="00F77130">
      <w:pPr>
        <w:spacing w:after="0" w:line="240" w:lineRule="auto"/>
        <w:jc w:val="both"/>
        <w:rPr>
          <w:rFonts w:ascii="Times New Roman" w:hAnsi="Times New Roman" w:cs="Times New Roman"/>
          <w:sz w:val="24"/>
          <w:szCs w:val="24"/>
        </w:rPr>
      </w:pPr>
    </w:p>
    <w:p w14:paraId="40F0917B" w14:textId="77777777" w:rsidR="00F77130" w:rsidRPr="00C902C8" w:rsidRDefault="00F77130" w:rsidP="00F7713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To</w:t>
      </w:r>
    </w:p>
    <w:p w14:paraId="6809F213" w14:textId="77777777" w:rsidR="00F77130" w:rsidRPr="00C902C8" w:rsidRDefault="00F77130" w:rsidP="00F7713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Authorised Dealers Category – I</w:t>
      </w:r>
    </w:p>
    <w:p w14:paraId="6098AD4D" w14:textId="77777777" w:rsidR="00F77130" w:rsidRPr="00C902C8" w:rsidRDefault="00F77130" w:rsidP="00F77130">
      <w:pPr>
        <w:spacing w:after="0" w:line="240" w:lineRule="auto"/>
        <w:jc w:val="both"/>
        <w:rPr>
          <w:rFonts w:ascii="Times New Roman" w:hAnsi="Times New Roman" w:cs="Times New Roman"/>
          <w:sz w:val="24"/>
          <w:szCs w:val="24"/>
        </w:rPr>
      </w:pPr>
    </w:p>
    <w:p w14:paraId="5C3D3A1D" w14:textId="77777777" w:rsidR="00F77130" w:rsidRPr="00C902C8" w:rsidRDefault="00F77130" w:rsidP="00F7713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 reference is invited to the Directions on Hedging of Foreign Exchange Risk issued vide A.P. (DIR Series) Circular No. 29 dated April 7, 2020. The Directions were to come into effect from June 1, 2020.</w:t>
      </w:r>
    </w:p>
    <w:p w14:paraId="33EB4DE4" w14:textId="77777777" w:rsidR="00F77130" w:rsidRPr="00C902C8" w:rsidRDefault="00F77130" w:rsidP="00F77130">
      <w:pPr>
        <w:spacing w:after="0" w:line="240" w:lineRule="auto"/>
        <w:jc w:val="both"/>
        <w:rPr>
          <w:rFonts w:ascii="Times New Roman" w:hAnsi="Times New Roman" w:cs="Times New Roman"/>
          <w:sz w:val="24"/>
          <w:szCs w:val="24"/>
        </w:rPr>
      </w:pPr>
    </w:p>
    <w:p w14:paraId="6517F81F" w14:textId="77777777" w:rsidR="00F77130" w:rsidRPr="00C902C8" w:rsidRDefault="00F77130" w:rsidP="00F7713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Based on the requests received from market participants and in the context of the difficulties arising from the outbreak of novel coronavirus disease (COVID-19), it has been decided that the Directions will now come into effect from September 1, 2020.</w:t>
      </w:r>
    </w:p>
    <w:p w14:paraId="6396A45C" w14:textId="77777777" w:rsidR="00F77130" w:rsidRPr="00C902C8" w:rsidRDefault="00F77130" w:rsidP="00F77130">
      <w:pPr>
        <w:spacing w:after="0" w:line="240" w:lineRule="auto"/>
        <w:jc w:val="both"/>
        <w:rPr>
          <w:rFonts w:ascii="Times New Roman" w:hAnsi="Times New Roman" w:cs="Times New Roman"/>
          <w:sz w:val="24"/>
          <w:szCs w:val="24"/>
        </w:rPr>
      </w:pPr>
    </w:p>
    <w:p w14:paraId="252C5B3A" w14:textId="77777777" w:rsidR="00F77130" w:rsidRPr="00C902C8" w:rsidRDefault="00F77130" w:rsidP="00F7713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Directions on the participation of Banks in Offshore Non-deliverable Rupee Derivative Markets issued vide A.P. (DIR Series) Circular No. 23 dated March 27, 2020 will come into effect from June 1, 2020, as hitherto.</w:t>
      </w:r>
    </w:p>
    <w:p w14:paraId="31B498F0" w14:textId="77777777" w:rsidR="00F77130" w:rsidRPr="00C902C8" w:rsidRDefault="00F77130" w:rsidP="00F77130">
      <w:pPr>
        <w:spacing w:after="0" w:line="240" w:lineRule="auto"/>
        <w:jc w:val="both"/>
        <w:rPr>
          <w:rFonts w:ascii="Times New Roman" w:hAnsi="Times New Roman" w:cs="Times New Roman"/>
          <w:sz w:val="24"/>
          <w:szCs w:val="24"/>
        </w:rPr>
      </w:pPr>
    </w:p>
    <w:p w14:paraId="785BF2FF" w14:textId="77777777" w:rsidR="00F77130" w:rsidRPr="00C902C8" w:rsidRDefault="00F77130" w:rsidP="00F7713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The Directions contained in this circular have been issued under Sections 10(4) and 11(1) of the Foreign Exchange Management Act, 1999 (42 of 1999) and are without prejudice to permissions/ approvals, if any, required under any other law.</w:t>
      </w:r>
    </w:p>
    <w:p w14:paraId="7A86093C" w14:textId="77777777" w:rsidR="00F77130" w:rsidRPr="00C902C8" w:rsidRDefault="00F77130" w:rsidP="00F77130">
      <w:pPr>
        <w:pBdr>
          <w:bottom w:val="single" w:sz="12" w:space="1" w:color="auto"/>
        </w:pBdr>
        <w:spacing w:after="0" w:line="240" w:lineRule="auto"/>
        <w:jc w:val="both"/>
        <w:rPr>
          <w:rFonts w:ascii="Times New Roman" w:hAnsi="Times New Roman" w:cs="Times New Roman"/>
          <w:sz w:val="24"/>
          <w:szCs w:val="24"/>
        </w:rPr>
      </w:pPr>
    </w:p>
    <w:bookmarkEnd w:id="1"/>
    <w:p w14:paraId="031D3285" w14:textId="77777777" w:rsidR="00F77130" w:rsidRPr="00C902C8" w:rsidRDefault="00F77130" w:rsidP="00F77130">
      <w:pPr>
        <w:spacing w:after="0" w:line="240" w:lineRule="auto"/>
        <w:jc w:val="both"/>
        <w:rPr>
          <w:rFonts w:ascii="Times New Roman" w:hAnsi="Times New Roman" w:cs="Times New Roman"/>
          <w:sz w:val="24"/>
          <w:szCs w:val="24"/>
        </w:rPr>
      </w:pPr>
    </w:p>
    <w:p w14:paraId="329A8438" w14:textId="77777777" w:rsidR="00F77130" w:rsidRDefault="00F77130" w:rsidP="00F77130">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C902C8">
        <w:rPr>
          <w:rFonts w:ascii="Times New Roman" w:eastAsia="Times New Roman" w:hAnsi="Times New Roman" w:cs="Times New Roman"/>
          <w:b/>
          <w:bCs/>
          <w:color w:val="000000"/>
          <w:sz w:val="24"/>
          <w:szCs w:val="24"/>
          <w:lang w:eastAsia="en-IN"/>
        </w:rPr>
        <w:t>Basel III Framework on Liquidity Standards – Net Stable Funding Ratio (NSFR)</w:t>
      </w:r>
    </w:p>
    <w:p w14:paraId="6CCF2418" w14:textId="77777777" w:rsidR="00F77130" w:rsidRPr="00C902C8" w:rsidRDefault="00F77130" w:rsidP="00F77130">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14:paraId="61A89F0F" w14:textId="77777777" w:rsidR="00F77130" w:rsidRPr="00C902C8" w:rsidRDefault="00F77130" w:rsidP="00F77130">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 xml:space="preserve">RBI/2019-20/187 DOR.BP.BC.No.46/21.04.098/2019-20 </w:t>
      </w:r>
      <w:r w:rsidRPr="00C902C8">
        <w:rPr>
          <w:rFonts w:ascii="Times New Roman" w:eastAsia="Times New Roman" w:hAnsi="Times New Roman" w:cs="Times New Roman"/>
          <w:color w:val="000000"/>
          <w:sz w:val="24"/>
          <w:szCs w:val="24"/>
          <w:lang w:eastAsia="en-IN"/>
        </w:rPr>
        <w:tab/>
      </w:r>
      <w:r w:rsidRPr="00C902C8">
        <w:rPr>
          <w:rFonts w:ascii="Times New Roman" w:eastAsia="Times New Roman" w:hAnsi="Times New Roman" w:cs="Times New Roman"/>
          <w:color w:val="000000"/>
          <w:sz w:val="24"/>
          <w:szCs w:val="24"/>
          <w:lang w:eastAsia="en-IN"/>
        </w:rPr>
        <w:tab/>
      </w:r>
      <w:r w:rsidRPr="00C902C8">
        <w:rPr>
          <w:rFonts w:ascii="Times New Roman" w:eastAsia="Times New Roman" w:hAnsi="Times New Roman" w:cs="Times New Roman"/>
          <w:color w:val="000000"/>
          <w:sz w:val="24"/>
          <w:szCs w:val="24"/>
          <w:lang w:eastAsia="en-IN"/>
        </w:rPr>
        <w:tab/>
        <w:t>March 27, 2020</w:t>
      </w:r>
    </w:p>
    <w:p w14:paraId="1CEAE37C" w14:textId="77777777" w:rsidR="00F77130" w:rsidRPr="00C902C8" w:rsidRDefault="00F77130" w:rsidP="00F77130">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7A25C823" w14:textId="77777777" w:rsidR="00F77130" w:rsidRPr="00C902C8" w:rsidRDefault="00F77130" w:rsidP="00F77130">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All Scheduled Commercial Banks (excluding RRBs)</w:t>
      </w:r>
    </w:p>
    <w:p w14:paraId="167BDA7B" w14:textId="77777777" w:rsidR="00F77130" w:rsidRPr="00C902C8" w:rsidRDefault="00F77130" w:rsidP="00F77130">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28796C96" w14:textId="77777777" w:rsidR="00F77130" w:rsidRPr="00C902C8" w:rsidRDefault="00F77130" w:rsidP="00F77130">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Please refer to paragraph 8 of Statement on Developmental and Regulatory Policies of Seventh Bi-monthly Monetary Policy Statement, 2019-20 dated March 27, 2020 and our circular DBR.BP.BC.No.08/21.04.098/2018-19 dated November 29, 2018 on final Net Stable Funding Ratio (NSFR) guidelines.</w:t>
      </w:r>
    </w:p>
    <w:p w14:paraId="55479068" w14:textId="77777777" w:rsidR="00F77130" w:rsidRPr="00C902C8" w:rsidRDefault="00F77130" w:rsidP="00F77130">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357BBE6C" w14:textId="77777777" w:rsidR="00F77130" w:rsidRPr="00C902C8" w:rsidRDefault="00F77130" w:rsidP="00F77130">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2. On a review, it has now been decided to defer the implementation of NSFR guidelines by six months. These guidelines will now come into effect from October 1, 2020 as against April 1, 2020.</w:t>
      </w:r>
    </w:p>
    <w:p w14:paraId="67450A80" w14:textId="77777777" w:rsidR="00F77130" w:rsidRPr="00C902C8" w:rsidRDefault="00F77130" w:rsidP="00F77130">
      <w:pPr>
        <w:pBdr>
          <w:bottom w:val="single" w:sz="12" w:space="1" w:color="auto"/>
        </w:pBdr>
        <w:spacing w:after="0" w:line="240" w:lineRule="auto"/>
        <w:jc w:val="both"/>
        <w:rPr>
          <w:rFonts w:ascii="Times New Roman" w:hAnsi="Times New Roman" w:cs="Times New Roman"/>
          <w:sz w:val="24"/>
          <w:szCs w:val="24"/>
        </w:rPr>
      </w:pPr>
    </w:p>
    <w:p w14:paraId="5EB0C576" w14:textId="77777777" w:rsidR="00F77130" w:rsidRPr="00C902C8" w:rsidRDefault="00F77130" w:rsidP="00F77130">
      <w:pPr>
        <w:spacing w:after="0" w:line="240" w:lineRule="auto"/>
        <w:jc w:val="both"/>
        <w:rPr>
          <w:rFonts w:ascii="Times New Roman" w:hAnsi="Times New Roman" w:cs="Times New Roman"/>
          <w:sz w:val="24"/>
          <w:szCs w:val="24"/>
        </w:rPr>
      </w:pPr>
    </w:p>
    <w:p w14:paraId="00E8EC4E" w14:textId="4D37803E" w:rsidR="00F77130" w:rsidRDefault="00F77130" w:rsidP="00F77130">
      <w:pPr>
        <w:spacing w:after="0" w:line="240" w:lineRule="auto"/>
        <w:jc w:val="both"/>
        <w:rPr>
          <w:rFonts w:ascii="Times New Roman" w:hAnsi="Times New Roman" w:cs="Times New Roman"/>
          <w:b/>
          <w:bCs/>
          <w:sz w:val="24"/>
          <w:szCs w:val="24"/>
        </w:rPr>
      </w:pPr>
    </w:p>
    <w:p w14:paraId="653FAF86" w14:textId="573DA230" w:rsidR="00F77130" w:rsidRDefault="00F77130" w:rsidP="00F77130">
      <w:pPr>
        <w:spacing w:after="0" w:line="240" w:lineRule="auto"/>
        <w:jc w:val="both"/>
        <w:rPr>
          <w:rFonts w:ascii="Times New Roman" w:hAnsi="Times New Roman" w:cs="Times New Roman"/>
          <w:b/>
          <w:bCs/>
          <w:sz w:val="24"/>
          <w:szCs w:val="24"/>
        </w:rPr>
      </w:pPr>
    </w:p>
    <w:p w14:paraId="7283E499" w14:textId="77777777" w:rsidR="00F77130" w:rsidRDefault="00F77130" w:rsidP="00F77130">
      <w:pPr>
        <w:spacing w:after="0" w:line="240" w:lineRule="auto"/>
        <w:jc w:val="both"/>
        <w:rPr>
          <w:rFonts w:ascii="Times New Roman" w:hAnsi="Times New Roman" w:cs="Times New Roman"/>
          <w:b/>
          <w:bCs/>
          <w:sz w:val="24"/>
          <w:szCs w:val="24"/>
        </w:rPr>
      </w:pPr>
    </w:p>
    <w:p w14:paraId="02BE27AF" w14:textId="77777777" w:rsidR="00F77130" w:rsidRDefault="00F77130" w:rsidP="00F77130">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lastRenderedPageBreak/>
        <w:t>Basel III Capital Regulations - Review of transitional arrangements</w:t>
      </w:r>
    </w:p>
    <w:p w14:paraId="540512A8" w14:textId="77777777" w:rsidR="00F77130" w:rsidRPr="00C902C8" w:rsidRDefault="00F77130" w:rsidP="00F77130">
      <w:pPr>
        <w:spacing w:after="0" w:line="240" w:lineRule="auto"/>
        <w:jc w:val="both"/>
        <w:rPr>
          <w:rFonts w:ascii="Times New Roman" w:hAnsi="Times New Roman" w:cs="Times New Roman"/>
          <w:b/>
          <w:bCs/>
          <w:sz w:val="24"/>
          <w:szCs w:val="24"/>
        </w:rPr>
      </w:pPr>
    </w:p>
    <w:p w14:paraId="61A99134" w14:textId="77777777" w:rsidR="00F77130" w:rsidRPr="00C902C8" w:rsidRDefault="00F77130" w:rsidP="00F7713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RBI/2019-20/188 DOR.BP.BC.No.45/21.06.201/2019-20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March 27, 2020</w:t>
      </w:r>
    </w:p>
    <w:p w14:paraId="41346523" w14:textId="77777777" w:rsidR="00F77130" w:rsidRPr="00C902C8" w:rsidRDefault="00F77130" w:rsidP="00F77130">
      <w:pPr>
        <w:spacing w:after="0" w:line="240" w:lineRule="auto"/>
        <w:jc w:val="both"/>
        <w:rPr>
          <w:rFonts w:ascii="Times New Roman" w:hAnsi="Times New Roman" w:cs="Times New Roman"/>
          <w:sz w:val="24"/>
          <w:szCs w:val="24"/>
        </w:rPr>
      </w:pPr>
    </w:p>
    <w:p w14:paraId="1218C31D" w14:textId="77777777" w:rsidR="00F77130" w:rsidRPr="00C902C8" w:rsidRDefault="00F77130" w:rsidP="00F7713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Scheduled Commercial Banks (Excluding RRBs and LABs)</w:t>
      </w:r>
    </w:p>
    <w:p w14:paraId="5B01E961" w14:textId="77777777" w:rsidR="00F77130" w:rsidRPr="00C902C8" w:rsidRDefault="00F77130" w:rsidP="00F77130">
      <w:pPr>
        <w:spacing w:after="0" w:line="240" w:lineRule="auto"/>
        <w:jc w:val="both"/>
        <w:rPr>
          <w:rFonts w:ascii="Times New Roman" w:hAnsi="Times New Roman" w:cs="Times New Roman"/>
          <w:sz w:val="24"/>
          <w:szCs w:val="24"/>
        </w:rPr>
      </w:pPr>
    </w:p>
    <w:p w14:paraId="736310C4" w14:textId="77777777" w:rsidR="00F77130" w:rsidRPr="00C902C8" w:rsidRDefault="00F77130" w:rsidP="00F7713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As announced in para 9 of the Statement on Developmental and Regulatory Policies issued along with the Seventh Bi-monthly Monetary Policy Statement 2019-20, the implementation of the last tranche of 0.625% of Capital Conservation Buffer (CCB) shall stand deferred from March 31, 2020 to September 30, 2020.</w:t>
      </w:r>
    </w:p>
    <w:p w14:paraId="3A8729F0" w14:textId="77777777" w:rsidR="00F77130" w:rsidRPr="00C902C8" w:rsidRDefault="00F77130" w:rsidP="00F77130">
      <w:pPr>
        <w:spacing w:after="0" w:line="240" w:lineRule="auto"/>
        <w:jc w:val="both"/>
        <w:rPr>
          <w:rFonts w:ascii="Times New Roman" w:hAnsi="Times New Roman" w:cs="Times New Roman"/>
          <w:sz w:val="24"/>
          <w:szCs w:val="24"/>
        </w:rPr>
      </w:pPr>
    </w:p>
    <w:p w14:paraId="6E60A40B" w14:textId="77777777" w:rsidR="00F77130" w:rsidRPr="00C902C8" w:rsidRDefault="00F77130" w:rsidP="00F7713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Accordingly, minimum capital conservation ratios in para 15.2.2 of Part D ‘Capital Conservation Buffer Framework’ of Master Circular, DBR.No.BP.BC.1/21.06.201/2015-16 dated July 1, 2015 on ‘Basel III Capital Regulations’, as applicable from March 31, 2018, will also apply for a further period of six months from March 31, 2020 till the CCB attains the level of 2.5% on September 30, 2020.</w:t>
      </w:r>
    </w:p>
    <w:p w14:paraId="0C821B42" w14:textId="77777777" w:rsidR="00F77130" w:rsidRPr="00C902C8" w:rsidRDefault="00F77130" w:rsidP="00F77130">
      <w:pPr>
        <w:spacing w:after="0" w:line="240" w:lineRule="auto"/>
        <w:jc w:val="both"/>
        <w:rPr>
          <w:rFonts w:ascii="Times New Roman" w:hAnsi="Times New Roman" w:cs="Times New Roman"/>
          <w:sz w:val="24"/>
          <w:szCs w:val="24"/>
        </w:rPr>
      </w:pPr>
    </w:p>
    <w:p w14:paraId="765C5DC2" w14:textId="77777777" w:rsidR="00F77130" w:rsidRPr="00C902C8" w:rsidRDefault="00F77130" w:rsidP="00F7713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Further, the pre-specified trigger for loss absorption through conversion / write-down of Additional Tier 1 instruments (PNCPS and PDI) shall remain at 5.5% of RWAs and will rise to 6.125% of RWAs on September 30, 2020.</w:t>
      </w:r>
    </w:p>
    <w:p w14:paraId="5085D0D0" w14:textId="77777777" w:rsidR="00F77130" w:rsidRPr="00C902C8" w:rsidRDefault="00F77130" w:rsidP="00F77130">
      <w:pPr>
        <w:pBdr>
          <w:bottom w:val="single" w:sz="12" w:space="1" w:color="auto"/>
        </w:pBdr>
        <w:spacing w:after="0" w:line="240" w:lineRule="auto"/>
        <w:jc w:val="both"/>
        <w:rPr>
          <w:rFonts w:ascii="Times New Roman" w:hAnsi="Times New Roman" w:cs="Times New Roman"/>
          <w:sz w:val="24"/>
          <w:szCs w:val="24"/>
        </w:rPr>
      </w:pPr>
    </w:p>
    <w:p w14:paraId="4035E665" w14:textId="77777777" w:rsidR="00F77130" w:rsidRDefault="00F77130" w:rsidP="00F77130">
      <w:pPr>
        <w:spacing w:after="0" w:line="240" w:lineRule="auto"/>
        <w:jc w:val="both"/>
        <w:rPr>
          <w:rFonts w:ascii="Times New Roman" w:hAnsi="Times New Roman" w:cs="Times New Roman"/>
          <w:b/>
          <w:bCs/>
          <w:sz w:val="24"/>
          <w:szCs w:val="24"/>
        </w:rPr>
      </w:pPr>
      <w:bookmarkStart w:id="2" w:name="_Hlk43632043"/>
    </w:p>
    <w:p w14:paraId="6ED48BA7" w14:textId="77777777" w:rsidR="00F77130" w:rsidRDefault="00F77130" w:rsidP="00F77130">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Basel III Framework on Liquidity Standards – Liquidity Coverage Ratio (LCR)</w:t>
      </w:r>
    </w:p>
    <w:p w14:paraId="6AFE7323" w14:textId="77777777" w:rsidR="00F77130" w:rsidRPr="00C902C8" w:rsidRDefault="00F77130" w:rsidP="00F77130">
      <w:pPr>
        <w:spacing w:after="0" w:line="240" w:lineRule="auto"/>
        <w:jc w:val="both"/>
        <w:rPr>
          <w:rFonts w:ascii="Times New Roman" w:hAnsi="Times New Roman" w:cs="Times New Roman"/>
          <w:b/>
          <w:bCs/>
          <w:sz w:val="24"/>
          <w:szCs w:val="24"/>
        </w:rPr>
      </w:pPr>
    </w:p>
    <w:p w14:paraId="3E93EE17" w14:textId="77777777" w:rsidR="00F77130" w:rsidRPr="00C902C8" w:rsidRDefault="00F77130" w:rsidP="00F7713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RBI/2019-20/217 DOR.BP.BC.No.65/21.04.098/2019-20</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April 17, 2020</w:t>
      </w:r>
    </w:p>
    <w:p w14:paraId="4C21C33E" w14:textId="77777777" w:rsidR="00F77130" w:rsidRPr="00C902C8" w:rsidRDefault="00F77130" w:rsidP="00F77130">
      <w:pPr>
        <w:spacing w:after="0" w:line="240" w:lineRule="auto"/>
        <w:jc w:val="both"/>
        <w:rPr>
          <w:rFonts w:ascii="Times New Roman" w:hAnsi="Times New Roman" w:cs="Times New Roman"/>
          <w:sz w:val="24"/>
          <w:szCs w:val="24"/>
        </w:rPr>
      </w:pPr>
    </w:p>
    <w:p w14:paraId="464C0806" w14:textId="77777777" w:rsidR="00F77130" w:rsidRPr="00C902C8" w:rsidRDefault="00F77130" w:rsidP="00F7713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Commercial Banks</w:t>
      </w:r>
    </w:p>
    <w:p w14:paraId="6DDCBA99" w14:textId="77777777" w:rsidR="00F77130" w:rsidRPr="00C902C8" w:rsidRDefault="00F77130" w:rsidP="00F7713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(excluding Regional Rural Banks, Local Area Banks and Payments Banks)</w:t>
      </w:r>
    </w:p>
    <w:p w14:paraId="47EF796A" w14:textId="77777777" w:rsidR="00F77130" w:rsidRPr="00C902C8" w:rsidRDefault="00F77130" w:rsidP="00F77130">
      <w:pPr>
        <w:spacing w:after="0" w:line="240" w:lineRule="auto"/>
        <w:jc w:val="both"/>
        <w:rPr>
          <w:rFonts w:ascii="Times New Roman" w:hAnsi="Times New Roman" w:cs="Times New Roman"/>
          <w:sz w:val="24"/>
          <w:szCs w:val="24"/>
        </w:rPr>
      </w:pPr>
    </w:p>
    <w:p w14:paraId="4911BED5" w14:textId="77777777" w:rsidR="00F77130" w:rsidRPr="00C902C8" w:rsidRDefault="00F77130" w:rsidP="00F7713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Please refer to our circular DBOD.BP.BC.No.120/21.04.098/2013-14 dated June 9, 2014 and associated circulars thereon.</w:t>
      </w:r>
    </w:p>
    <w:p w14:paraId="48D2DDBA" w14:textId="77777777" w:rsidR="00F77130" w:rsidRPr="00C902C8" w:rsidRDefault="00F77130" w:rsidP="00F77130">
      <w:pPr>
        <w:spacing w:after="0" w:line="240" w:lineRule="auto"/>
        <w:jc w:val="both"/>
        <w:rPr>
          <w:rFonts w:ascii="Times New Roman" w:hAnsi="Times New Roman" w:cs="Times New Roman"/>
          <w:sz w:val="24"/>
          <w:szCs w:val="24"/>
        </w:rPr>
      </w:pPr>
    </w:p>
    <w:p w14:paraId="5C90F512" w14:textId="77777777" w:rsidR="00F77130" w:rsidRPr="00C902C8" w:rsidRDefault="00F77130" w:rsidP="00F7713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As part of post Global Financial Crisis (GFC) reforms, Basel Committee on Banking Supervision (BCBS) had introduced Liquidity Coverage Ratio (LCR), which requires banks to maintain High Quality Liquid Assets (HQLAs) to meet 30 days net outgo under stressed conditions. Further, as per Banking Regulation Act, 1949, the banks in India are required to hold liquid assets to maintain Statutory Liquidity Ratio (SLR). In view of the fact that liquid assets under SLR and HQLAs under LCR are largely the same, we have been allowing banks to use a progressively increasing proportion of the SLR securities for being considered as HQLAs for LCR so that the need to maintain liquid assets for both the requirements is optimised.</w:t>
      </w:r>
    </w:p>
    <w:p w14:paraId="40169ED6" w14:textId="77777777" w:rsidR="00F77130" w:rsidRPr="00C902C8" w:rsidRDefault="00F77130" w:rsidP="00F77130">
      <w:pPr>
        <w:spacing w:after="0" w:line="240" w:lineRule="auto"/>
        <w:jc w:val="both"/>
        <w:rPr>
          <w:rFonts w:ascii="Times New Roman" w:hAnsi="Times New Roman" w:cs="Times New Roman"/>
          <w:sz w:val="24"/>
          <w:szCs w:val="24"/>
        </w:rPr>
      </w:pPr>
    </w:p>
    <w:p w14:paraId="3ED855C7" w14:textId="77777777" w:rsidR="00F77130" w:rsidRPr="00C902C8" w:rsidRDefault="00F77130" w:rsidP="00F7713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At present the assets allowed as Level 1 High Quality Liquid Assets (HQLAs), inter alia, includes among others within the mandatory SLR requirement, Government securities to the extent allowed by RBI under (i) Marginal Standing Facility (MSF) and (ii) Facility to Avail Liquidity for Liquidity Coverage Ratio (FALLCR) [15 per cent of the bank's NDTL with effect from April 1, 2020]. Given that SLR has now been reduced to 18 per cent of NDTL from April 11, 2020, and with increase in MSF from 2 per cent to 3 per cent of the banks’ NDTL (with effect from March 27, 2020 and applicable upto June 30, 2020), entire SLR-eligible assets held by banks are now permitted to be reckoned as HQLAs for meeting LCR.</w:t>
      </w:r>
    </w:p>
    <w:p w14:paraId="0C5F8B90" w14:textId="77777777" w:rsidR="00F77130" w:rsidRPr="00C902C8" w:rsidRDefault="00F77130" w:rsidP="00F77130">
      <w:pPr>
        <w:spacing w:after="0" w:line="240" w:lineRule="auto"/>
        <w:jc w:val="both"/>
        <w:rPr>
          <w:rFonts w:ascii="Times New Roman" w:hAnsi="Times New Roman" w:cs="Times New Roman"/>
          <w:sz w:val="24"/>
          <w:szCs w:val="24"/>
        </w:rPr>
      </w:pPr>
    </w:p>
    <w:p w14:paraId="4879C5BD" w14:textId="77777777" w:rsidR="00F77130" w:rsidRPr="00C902C8" w:rsidRDefault="00F77130" w:rsidP="00F7713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Further, banks1 are required to maintain LCR of 100 per cent with effect from January 1, 2019. In order to accommodate the burden on banks’ cash flows on account of the Covid19 pandemic, banks are permitted to maintain LCR as under:</w:t>
      </w:r>
    </w:p>
    <w:p w14:paraId="02A3C6DF" w14:textId="77777777" w:rsidR="00F77130" w:rsidRPr="00C902C8" w:rsidRDefault="00F77130" w:rsidP="00F77130">
      <w:pPr>
        <w:spacing w:after="0" w:line="240" w:lineRule="auto"/>
        <w:jc w:val="both"/>
        <w:rPr>
          <w:rFonts w:ascii="Times New Roman" w:eastAsia="Times New Roman" w:hAnsi="Times New Roman" w:cs="Times New Roman"/>
          <w:sz w:val="24"/>
          <w:szCs w:val="24"/>
          <w:lang w:eastAsia="en-IN"/>
        </w:rPr>
      </w:pPr>
    </w:p>
    <w:tbl>
      <w:tblPr>
        <w:tblW w:w="38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57"/>
        <w:gridCol w:w="2218"/>
      </w:tblGrid>
      <w:tr w:rsidR="00F77130" w:rsidRPr="00C902C8" w14:paraId="1C2F2F74" w14:textId="77777777" w:rsidTr="0067450A">
        <w:trPr>
          <w:jc w:val="center"/>
        </w:trPr>
        <w:tc>
          <w:tcPr>
            <w:tcW w:w="3410" w:type="pct"/>
            <w:tcMar>
              <w:top w:w="0" w:type="dxa"/>
              <w:left w:w="45" w:type="dxa"/>
              <w:bottom w:w="0" w:type="dxa"/>
              <w:right w:w="45" w:type="dxa"/>
            </w:tcMar>
            <w:vAlign w:val="center"/>
            <w:hideMark/>
          </w:tcPr>
          <w:p w14:paraId="6010F901" w14:textId="77777777" w:rsidR="00F77130" w:rsidRPr="00C902C8" w:rsidRDefault="00F77130" w:rsidP="0067450A">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From date of circular to September 30, 2020 -</w:t>
            </w:r>
          </w:p>
        </w:tc>
        <w:tc>
          <w:tcPr>
            <w:tcW w:w="1590" w:type="pct"/>
            <w:tcMar>
              <w:top w:w="0" w:type="dxa"/>
              <w:left w:w="45" w:type="dxa"/>
              <w:bottom w:w="0" w:type="dxa"/>
              <w:right w:w="45" w:type="dxa"/>
            </w:tcMar>
            <w:vAlign w:val="center"/>
            <w:hideMark/>
          </w:tcPr>
          <w:p w14:paraId="062D8AB7" w14:textId="77777777" w:rsidR="00F77130" w:rsidRPr="00C902C8" w:rsidRDefault="00F77130" w:rsidP="0067450A">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80 per cent</w:t>
            </w:r>
          </w:p>
        </w:tc>
      </w:tr>
      <w:tr w:rsidR="00F77130" w:rsidRPr="00C902C8" w14:paraId="78EE8B4D" w14:textId="77777777" w:rsidTr="0067450A">
        <w:trPr>
          <w:jc w:val="center"/>
        </w:trPr>
        <w:tc>
          <w:tcPr>
            <w:tcW w:w="3410" w:type="pct"/>
            <w:tcMar>
              <w:top w:w="0" w:type="dxa"/>
              <w:left w:w="45" w:type="dxa"/>
              <w:bottom w:w="0" w:type="dxa"/>
              <w:right w:w="45" w:type="dxa"/>
            </w:tcMar>
            <w:vAlign w:val="center"/>
            <w:hideMark/>
          </w:tcPr>
          <w:p w14:paraId="593C259E" w14:textId="77777777" w:rsidR="00F77130" w:rsidRPr="00C902C8" w:rsidRDefault="00F77130" w:rsidP="0067450A">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Oct 1, 2020 to March 31, 2021 -</w:t>
            </w:r>
          </w:p>
        </w:tc>
        <w:tc>
          <w:tcPr>
            <w:tcW w:w="0" w:type="auto"/>
            <w:tcMar>
              <w:top w:w="0" w:type="dxa"/>
              <w:left w:w="45" w:type="dxa"/>
              <w:bottom w:w="0" w:type="dxa"/>
              <w:right w:w="45" w:type="dxa"/>
            </w:tcMar>
            <w:vAlign w:val="center"/>
            <w:hideMark/>
          </w:tcPr>
          <w:p w14:paraId="737C0C3E" w14:textId="77777777" w:rsidR="00F77130" w:rsidRPr="00C902C8" w:rsidRDefault="00F77130" w:rsidP="0067450A">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90 per cent</w:t>
            </w:r>
          </w:p>
        </w:tc>
      </w:tr>
      <w:tr w:rsidR="00F77130" w:rsidRPr="00C902C8" w14:paraId="7F946CDA" w14:textId="77777777" w:rsidTr="0067450A">
        <w:trPr>
          <w:jc w:val="center"/>
        </w:trPr>
        <w:tc>
          <w:tcPr>
            <w:tcW w:w="3410" w:type="pct"/>
            <w:tcMar>
              <w:top w:w="0" w:type="dxa"/>
              <w:left w:w="45" w:type="dxa"/>
              <w:bottom w:w="0" w:type="dxa"/>
              <w:right w:w="45" w:type="dxa"/>
            </w:tcMar>
            <w:vAlign w:val="center"/>
            <w:hideMark/>
          </w:tcPr>
          <w:p w14:paraId="7262EEA6" w14:textId="77777777" w:rsidR="00F77130" w:rsidRPr="00C902C8" w:rsidRDefault="00F77130" w:rsidP="0067450A">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April 1, 2021 onwards -</w:t>
            </w:r>
          </w:p>
        </w:tc>
        <w:tc>
          <w:tcPr>
            <w:tcW w:w="0" w:type="auto"/>
            <w:tcMar>
              <w:top w:w="0" w:type="dxa"/>
              <w:left w:w="45" w:type="dxa"/>
              <w:bottom w:w="0" w:type="dxa"/>
              <w:right w:w="45" w:type="dxa"/>
            </w:tcMar>
            <w:vAlign w:val="center"/>
            <w:hideMark/>
          </w:tcPr>
          <w:p w14:paraId="586A42E0" w14:textId="77777777" w:rsidR="00F77130" w:rsidRPr="00C902C8" w:rsidRDefault="00F77130" w:rsidP="0067450A">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100 per cent</w:t>
            </w:r>
          </w:p>
        </w:tc>
      </w:tr>
    </w:tbl>
    <w:p w14:paraId="7C20F375" w14:textId="77777777" w:rsidR="00F77130" w:rsidRPr="00C902C8" w:rsidRDefault="00F77130" w:rsidP="00F77130">
      <w:pPr>
        <w:spacing w:after="0" w:line="240" w:lineRule="auto"/>
        <w:jc w:val="both"/>
        <w:rPr>
          <w:rFonts w:ascii="Times New Roman" w:hAnsi="Times New Roman" w:cs="Times New Roman"/>
          <w:sz w:val="24"/>
          <w:szCs w:val="24"/>
        </w:rPr>
      </w:pPr>
    </w:p>
    <w:p w14:paraId="1728D0E8" w14:textId="77777777" w:rsidR="00F77130" w:rsidRPr="00C902C8" w:rsidRDefault="00F77130" w:rsidP="00F7713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Banks shall prepare LCR restoration plans upon breach of the aforesaid prescribed LCR requirement, for scrutiny by the Department of Supervision, Reserve Bank of India.</w:t>
      </w:r>
    </w:p>
    <w:p w14:paraId="13E3226F" w14:textId="77777777" w:rsidR="00F77130" w:rsidRPr="00C902C8" w:rsidRDefault="00F77130" w:rsidP="00F77130">
      <w:pPr>
        <w:pBdr>
          <w:bottom w:val="single" w:sz="12" w:space="1" w:color="auto"/>
        </w:pBdr>
        <w:spacing w:after="0" w:line="240" w:lineRule="auto"/>
        <w:jc w:val="both"/>
        <w:rPr>
          <w:rFonts w:ascii="Times New Roman" w:hAnsi="Times New Roman" w:cs="Times New Roman"/>
          <w:sz w:val="24"/>
          <w:szCs w:val="24"/>
        </w:rPr>
      </w:pPr>
    </w:p>
    <w:bookmarkEnd w:id="0"/>
    <w:bookmarkEnd w:id="2"/>
    <w:p w14:paraId="0BACC11D" w14:textId="77777777" w:rsidR="00F77130" w:rsidRPr="00C902C8" w:rsidRDefault="00F77130" w:rsidP="00F77130">
      <w:pPr>
        <w:spacing w:after="0" w:line="240" w:lineRule="auto"/>
        <w:jc w:val="both"/>
        <w:rPr>
          <w:rFonts w:ascii="Times New Roman" w:hAnsi="Times New Roman" w:cs="Times New Roman"/>
          <w:sz w:val="24"/>
          <w:szCs w:val="24"/>
        </w:rPr>
      </w:pPr>
    </w:p>
    <w:sectPr w:rsidR="00F77130" w:rsidRPr="00C902C8">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01BF1E" w14:textId="77777777" w:rsidR="004927DF" w:rsidRDefault="004927DF" w:rsidP="00064158">
      <w:pPr>
        <w:spacing w:after="0" w:line="240" w:lineRule="auto"/>
      </w:pPr>
      <w:r>
        <w:separator/>
      </w:r>
    </w:p>
  </w:endnote>
  <w:endnote w:type="continuationSeparator" w:id="0">
    <w:p w14:paraId="6C1C2806" w14:textId="77777777" w:rsidR="004927DF" w:rsidRDefault="004927DF" w:rsidP="00064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9401276"/>
      <w:docPartObj>
        <w:docPartGallery w:val="Page Numbers (Bottom of Page)"/>
        <w:docPartUnique/>
      </w:docPartObj>
    </w:sdtPr>
    <w:sdtEndPr>
      <w:rPr>
        <w:noProof/>
      </w:rPr>
    </w:sdtEndPr>
    <w:sdtContent>
      <w:p w14:paraId="1F1681E7" w14:textId="461DEBA8" w:rsidR="00E112B6" w:rsidRDefault="00E112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FDF365" w14:textId="77777777" w:rsidR="00E112B6" w:rsidRDefault="00E11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BFD8F0" w14:textId="77777777" w:rsidR="004927DF" w:rsidRDefault="004927DF" w:rsidP="00064158">
      <w:pPr>
        <w:spacing w:after="0" w:line="240" w:lineRule="auto"/>
      </w:pPr>
      <w:r>
        <w:separator/>
      </w:r>
    </w:p>
  </w:footnote>
  <w:footnote w:type="continuationSeparator" w:id="0">
    <w:p w14:paraId="6E7AA599" w14:textId="77777777" w:rsidR="004927DF" w:rsidRDefault="004927DF" w:rsidP="000641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1463"/>
    <w:multiLevelType w:val="hybridMultilevel"/>
    <w:tmpl w:val="C06CA4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12B7DE9"/>
    <w:multiLevelType w:val="hybridMultilevel"/>
    <w:tmpl w:val="555619A2"/>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26937CB"/>
    <w:multiLevelType w:val="hybridMultilevel"/>
    <w:tmpl w:val="5DD638F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30E66A4"/>
    <w:multiLevelType w:val="hybridMultilevel"/>
    <w:tmpl w:val="C1E4C0BC"/>
    <w:lvl w:ilvl="0" w:tplc="8B9A29BA">
      <w:start w:val="1"/>
      <w:numFmt w:val="decimal"/>
      <w:lvlText w:val="%1"/>
      <w:lvlJc w:val="left"/>
      <w:pPr>
        <w:ind w:left="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38D0F4F4">
      <w:start w:val="1"/>
      <w:numFmt w:val="lowerLetter"/>
      <w:lvlText w:val="(%2)"/>
      <w:lvlJc w:val="left"/>
      <w:pPr>
        <w:ind w:left="1239"/>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BE266D1A">
      <w:start w:val="1"/>
      <w:numFmt w:val="lowerRoman"/>
      <w:lvlText w:val="%3"/>
      <w:lvlJc w:val="left"/>
      <w:pPr>
        <w:ind w:left="20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0CDA72BC">
      <w:start w:val="1"/>
      <w:numFmt w:val="decimal"/>
      <w:lvlText w:val="%4"/>
      <w:lvlJc w:val="left"/>
      <w:pPr>
        <w:ind w:left="27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219A7800">
      <w:start w:val="1"/>
      <w:numFmt w:val="lowerLetter"/>
      <w:lvlText w:val="%5"/>
      <w:lvlJc w:val="left"/>
      <w:pPr>
        <w:ind w:left="34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28C0CF90">
      <w:start w:val="1"/>
      <w:numFmt w:val="lowerRoman"/>
      <w:lvlText w:val="%6"/>
      <w:lvlJc w:val="left"/>
      <w:pPr>
        <w:ind w:left="42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61FC81D0">
      <w:start w:val="1"/>
      <w:numFmt w:val="decimal"/>
      <w:lvlText w:val="%7"/>
      <w:lvlJc w:val="left"/>
      <w:pPr>
        <w:ind w:left="49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8FECD250">
      <w:start w:val="1"/>
      <w:numFmt w:val="lowerLetter"/>
      <w:lvlText w:val="%8"/>
      <w:lvlJc w:val="left"/>
      <w:pPr>
        <w:ind w:left="56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ED5EB1CE">
      <w:start w:val="1"/>
      <w:numFmt w:val="lowerRoman"/>
      <w:lvlText w:val="%9"/>
      <w:lvlJc w:val="left"/>
      <w:pPr>
        <w:ind w:left="6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4" w15:restartNumberingAfterBreak="0">
    <w:nsid w:val="03D954F5"/>
    <w:multiLevelType w:val="hybridMultilevel"/>
    <w:tmpl w:val="00503F1C"/>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49E5BBF"/>
    <w:multiLevelType w:val="hybridMultilevel"/>
    <w:tmpl w:val="FB46453C"/>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6B16BD1"/>
    <w:multiLevelType w:val="hybridMultilevel"/>
    <w:tmpl w:val="EB6AD9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7962D95"/>
    <w:multiLevelType w:val="hybridMultilevel"/>
    <w:tmpl w:val="DA963E52"/>
    <w:lvl w:ilvl="0" w:tplc="40090019">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7EA49A5"/>
    <w:multiLevelType w:val="hybridMultilevel"/>
    <w:tmpl w:val="E5B8736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08997765"/>
    <w:multiLevelType w:val="hybridMultilevel"/>
    <w:tmpl w:val="C1AEBC7A"/>
    <w:lvl w:ilvl="0" w:tplc="40090019">
      <w:start w:val="1"/>
      <w:numFmt w:val="lowerLetter"/>
      <w:lvlText w:val="%1."/>
      <w:lvlJc w:val="left"/>
      <w:pPr>
        <w:ind w:left="720" w:hanging="360"/>
      </w:pPr>
    </w:lvl>
    <w:lvl w:ilvl="1" w:tplc="2F08C696">
      <w:start w:val="1"/>
      <w:numFmt w:val="low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09CD29F4"/>
    <w:multiLevelType w:val="hybridMultilevel"/>
    <w:tmpl w:val="821E3F3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0A871A94"/>
    <w:multiLevelType w:val="hybridMultilevel"/>
    <w:tmpl w:val="934406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0BE32A15"/>
    <w:multiLevelType w:val="hybridMultilevel"/>
    <w:tmpl w:val="498E483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0BE32AB6"/>
    <w:multiLevelType w:val="hybridMultilevel"/>
    <w:tmpl w:val="A7BC462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0D0D5F75"/>
    <w:multiLevelType w:val="hybridMultilevel"/>
    <w:tmpl w:val="CEAAFE6A"/>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0DBE6E41"/>
    <w:multiLevelType w:val="hybridMultilevel"/>
    <w:tmpl w:val="E08AA3D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0DF53165"/>
    <w:multiLevelType w:val="hybridMultilevel"/>
    <w:tmpl w:val="4D0053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0EB30D4D"/>
    <w:multiLevelType w:val="hybridMultilevel"/>
    <w:tmpl w:val="C5A2603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0F445043"/>
    <w:multiLevelType w:val="hybridMultilevel"/>
    <w:tmpl w:val="DFF8E4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109437F8"/>
    <w:multiLevelType w:val="hybridMultilevel"/>
    <w:tmpl w:val="EDEE863C"/>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12A20210"/>
    <w:multiLevelType w:val="hybridMultilevel"/>
    <w:tmpl w:val="99D4D1A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13F66B1D"/>
    <w:multiLevelType w:val="hybridMultilevel"/>
    <w:tmpl w:val="FCC6BB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1648708F"/>
    <w:multiLevelType w:val="hybridMultilevel"/>
    <w:tmpl w:val="ED74FE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16770D80"/>
    <w:multiLevelType w:val="hybridMultilevel"/>
    <w:tmpl w:val="358218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16A205F8"/>
    <w:multiLevelType w:val="hybridMultilevel"/>
    <w:tmpl w:val="4A7E455C"/>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178D379D"/>
    <w:multiLevelType w:val="hybridMultilevel"/>
    <w:tmpl w:val="8488B5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186E5AAA"/>
    <w:multiLevelType w:val="hybridMultilevel"/>
    <w:tmpl w:val="C7B4B6E0"/>
    <w:lvl w:ilvl="0" w:tplc="1D6C3BEE">
      <w:start w:val="12"/>
      <w:numFmt w:val="decimal"/>
      <w:lvlText w:val="%1."/>
      <w:lvlJc w:val="left"/>
      <w:pPr>
        <w:ind w:left="120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1" w:tplc="9D6A66BA">
      <w:start w:val="1"/>
      <w:numFmt w:val="lowerLetter"/>
      <w:lvlText w:val="%2"/>
      <w:lvlJc w:val="left"/>
      <w:pPr>
        <w:ind w:left="276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2" w:tplc="84B0D0FC">
      <w:start w:val="1"/>
      <w:numFmt w:val="lowerRoman"/>
      <w:lvlText w:val="%3"/>
      <w:lvlJc w:val="left"/>
      <w:pPr>
        <w:ind w:left="348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3" w:tplc="DE920EC4">
      <w:start w:val="1"/>
      <w:numFmt w:val="decimal"/>
      <w:lvlText w:val="%4"/>
      <w:lvlJc w:val="left"/>
      <w:pPr>
        <w:ind w:left="420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4" w:tplc="CE66C82C">
      <w:start w:val="1"/>
      <w:numFmt w:val="lowerLetter"/>
      <w:lvlText w:val="%5"/>
      <w:lvlJc w:val="left"/>
      <w:pPr>
        <w:ind w:left="492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5" w:tplc="B7A27750">
      <w:start w:val="1"/>
      <w:numFmt w:val="lowerRoman"/>
      <w:lvlText w:val="%6"/>
      <w:lvlJc w:val="left"/>
      <w:pPr>
        <w:ind w:left="564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6" w:tplc="D95659D8">
      <w:start w:val="1"/>
      <w:numFmt w:val="decimal"/>
      <w:lvlText w:val="%7"/>
      <w:lvlJc w:val="left"/>
      <w:pPr>
        <w:ind w:left="636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7" w:tplc="0F3A6930">
      <w:start w:val="1"/>
      <w:numFmt w:val="lowerLetter"/>
      <w:lvlText w:val="%8"/>
      <w:lvlJc w:val="left"/>
      <w:pPr>
        <w:ind w:left="708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8" w:tplc="D7880DA2">
      <w:start w:val="1"/>
      <w:numFmt w:val="lowerRoman"/>
      <w:lvlText w:val="%9"/>
      <w:lvlJc w:val="left"/>
      <w:pPr>
        <w:ind w:left="780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abstractNum>
  <w:abstractNum w:abstractNumId="27" w15:restartNumberingAfterBreak="0">
    <w:nsid w:val="18DD166E"/>
    <w:multiLevelType w:val="hybridMultilevel"/>
    <w:tmpl w:val="BB02B2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19CA064A"/>
    <w:multiLevelType w:val="hybridMultilevel"/>
    <w:tmpl w:val="020CE8E6"/>
    <w:lvl w:ilvl="0" w:tplc="4009001B">
      <w:start w:val="1"/>
      <w:numFmt w:val="lowerRoman"/>
      <w:lvlText w:val="%1."/>
      <w:lvlJc w:val="right"/>
      <w:pPr>
        <w:ind w:left="720" w:hanging="360"/>
      </w:pPr>
      <w:rPr>
        <w:rFonts w:hint="default"/>
      </w:rPr>
    </w:lvl>
    <w:lvl w:ilvl="1" w:tplc="4822BEE6">
      <w:start w:val="1"/>
      <w:numFmt w:val="lowerLetter"/>
      <w:lvlText w:val="%2)"/>
      <w:lvlJc w:val="left"/>
      <w:pPr>
        <w:ind w:left="1440" w:hanging="360"/>
      </w:pPr>
      <w:rPr>
        <w:rFont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1BAB196B"/>
    <w:multiLevelType w:val="hybridMultilevel"/>
    <w:tmpl w:val="C82008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1C122341"/>
    <w:multiLevelType w:val="hybridMultilevel"/>
    <w:tmpl w:val="45F053A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1E851064"/>
    <w:multiLevelType w:val="hybridMultilevel"/>
    <w:tmpl w:val="F1B8C9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1F76236F"/>
    <w:multiLevelType w:val="hybridMultilevel"/>
    <w:tmpl w:val="3C1C7586"/>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20FB0572"/>
    <w:multiLevelType w:val="hybridMultilevel"/>
    <w:tmpl w:val="3EA49A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22A3016E"/>
    <w:multiLevelType w:val="hybridMultilevel"/>
    <w:tmpl w:val="161473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22C8799C"/>
    <w:multiLevelType w:val="hybridMultilevel"/>
    <w:tmpl w:val="4C525D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23900BA3"/>
    <w:multiLevelType w:val="hybridMultilevel"/>
    <w:tmpl w:val="58E82B56"/>
    <w:lvl w:ilvl="0" w:tplc="40090019">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24B9161E"/>
    <w:multiLevelType w:val="hybridMultilevel"/>
    <w:tmpl w:val="82FEE4C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252C4A5F"/>
    <w:multiLevelType w:val="hybridMultilevel"/>
    <w:tmpl w:val="B9D4980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289B7101"/>
    <w:multiLevelType w:val="hybridMultilevel"/>
    <w:tmpl w:val="28965A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294874FE"/>
    <w:multiLevelType w:val="hybridMultilevel"/>
    <w:tmpl w:val="2D4AEF0A"/>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2A234D2C"/>
    <w:multiLevelType w:val="hybridMultilevel"/>
    <w:tmpl w:val="C18EDBF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2B046C64"/>
    <w:multiLevelType w:val="hybridMultilevel"/>
    <w:tmpl w:val="0CAEE8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2C3C3BBA"/>
    <w:multiLevelType w:val="hybridMultilevel"/>
    <w:tmpl w:val="22B2929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2D8927AE"/>
    <w:multiLevelType w:val="hybridMultilevel"/>
    <w:tmpl w:val="FA4E36D6"/>
    <w:lvl w:ilvl="0" w:tplc="11EAA388">
      <w:start w:val="2"/>
      <w:numFmt w:val="decimal"/>
      <w:lvlText w:val="%1."/>
      <w:lvlJc w:val="left"/>
      <w:pPr>
        <w:ind w:left="0"/>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1" w:tplc="2B1056DA">
      <w:start w:val="1"/>
      <w:numFmt w:val="lowerRoman"/>
      <w:lvlText w:val="(%2)"/>
      <w:lvlJc w:val="left"/>
      <w:pPr>
        <w:ind w:left="7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61DE1DDC">
      <w:start w:val="1"/>
      <w:numFmt w:val="lowerRoman"/>
      <w:lvlText w:val="%3"/>
      <w:lvlJc w:val="left"/>
      <w:pPr>
        <w:ind w:left="20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E5CC4050">
      <w:start w:val="1"/>
      <w:numFmt w:val="decimal"/>
      <w:lvlText w:val="%4"/>
      <w:lvlJc w:val="left"/>
      <w:pPr>
        <w:ind w:left="27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AB1E1C8E">
      <w:start w:val="1"/>
      <w:numFmt w:val="lowerLetter"/>
      <w:lvlText w:val="%5"/>
      <w:lvlJc w:val="left"/>
      <w:pPr>
        <w:ind w:left="34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C88AEA3A">
      <w:start w:val="1"/>
      <w:numFmt w:val="lowerRoman"/>
      <w:lvlText w:val="%6"/>
      <w:lvlJc w:val="left"/>
      <w:pPr>
        <w:ind w:left="42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4C5CB310">
      <w:start w:val="1"/>
      <w:numFmt w:val="decimal"/>
      <w:lvlText w:val="%7"/>
      <w:lvlJc w:val="left"/>
      <w:pPr>
        <w:ind w:left="49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0A40B1A8">
      <w:start w:val="1"/>
      <w:numFmt w:val="lowerLetter"/>
      <w:lvlText w:val="%8"/>
      <w:lvlJc w:val="left"/>
      <w:pPr>
        <w:ind w:left="56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FD52BD98">
      <w:start w:val="1"/>
      <w:numFmt w:val="lowerRoman"/>
      <w:lvlText w:val="%9"/>
      <w:lvlJc w:val="left"/>
      <w:pPr>
        <w:ind w:left="6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45" w15:restartNumberingAfterBreak="0">
    <w:nsid w:val="2E22115B"/>
    <w:multiLevelType w:val="hybridMultilevel"/>
    <w:tmpl w:val="06E2883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2EE65A26"/>
    <w:multiLevelType w:val="hybridMultilevel"/>
    <w:tmpl w:val="4ADC279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2F910F78"/>
    <w:multiLevelType w:val="hybridMultilevel"/>
    <w:tmpl w:val="653C42B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2FD70228"/>
    <w:multiLevelType w:val="hybridMultilevel"/>
    <w:tmpl w:val="AB5C98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15:restartNumberingAfterBreak="0">
    <w:nsid w:val="2FF929D0"/>
    <w:multiLevelType w:val="hybridMultilevel"/>
    <w:tmpl w:val="7272DB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15:restartNumberingAfterBreak="0">
    <w:nsid w:val="30415C7E"/>
    <w:multiLevelType w:val="hybridMultilevel"/>
    <w:tmpl w:val="1362F1AA"/>
    <w:lvl w:ilvl="0" w:tplc="A6DCB8F8">
      <w:start w:val="2"/>
      <w:numFmt w:val="decimal"/>
      <w:lvlText w:val="(%1)"/>
      <w:lvlJc w:val="left"/>
      <w:pPr>
        <w:ind w:left="16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76841366">
      <w:start w:val="1"/>
      <w:numFmt w:val="lowerRoman"/>
      <w:lvlText w:val="(%2)"/>
      <w:lvlJc w:val="left"/>
      <w:pPr>
        <w:ind w:left="2165"/>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9E048E30">
      <w:start w:val="1"/>
      <w:numFmt w:val="lowerRoman"/>
      <w:lvlText w:val="(%3)"/>
      <w:lvlJc w:val="left"/>
      <w:pPr>
        <w:ind w:left="2645"/>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54082690">
      <w:start w:val="1"/>
      <w:numFmt w:val="decimal"/>
      <w:lvlText w:val="%4"/>
      <w:lvlJc w:val="left"/>
      <w:pPr>
        <w:ind w:left="42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E1344972">
      <w:start w:val="1"/>
      <w:numFmt w:val="lowerLetter"/>
      <w:lvlText w:val="%5"/>
      <w:lvlJc w:val="left"/>
      <w:pPr>
        <w:ind w:left="49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30988EB8">
      <w:start w:val="1"/>
      <w:numFmt w:val="lowerRoman"/>
      <w:lvlText w:val="%6"/>
      <w:lvlJc w:val="left"/>
      <w:pPr>
        <w:ind w:left="56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B11C15E6">
      <w:start w:val="1"/>
      <w:numFmt w:val="decimal"/>
      <w:lvlText w:val="%7"/>
      <w:lvlJc w:val="left"/>
      <w:pPr>
        <w:ind w:left="6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6D12B6D8">
      <w:start w:val="1"/>
      <w:numFmt w:val="lowerLetter"/>
      <w:lvlText w:val="%8"/>
      <w:lvlJc w:val="left"/>
      <w:pPr>
        <w:ind w:left="70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0834FEBA">
      <w:start w:val="1"/>
      <w:numFmt w:val="lowerRoman"/>
      <w:lvlText w:val="%9"/>
      <w:lvlJc w:val="left"/>
      <w:pPr>
        <w:ind w:left="78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51" w15:restartNumberingAfterBreak="0">
    <w:nsid w:val="30991248"/>
    <w:multiLevelType w:val="hybridMultilevel"/>
    <w:tmpl w:val="FA7298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15:restartNumberingAfterBreak="0">
    <w:nsid w:val="3122128A"/>
    <w:multiLevelType w:val="hybridMultilevel"/>
    <w:tmpl w:val="CF7C428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15:restartNumberingAfterBreak="0">
    <w:nsid w:val="316665CD"/>
    <w:multiLevelType w:val="hybridMultilevel"/>
    <w:tmpl w:val="CCFC68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4" w15:restartNumberingAfterBreak="0">
    <w:nsid w:val="33755649"/>
    <w:multiLevelType w:val="hybridMultilevel"/>
    <w:tmpl w:val="FB26640C"/>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5" w15:restartNumberingAfterBreak="0">
    <w:nsid w:val="33B90F05"/>
    <w:multiLevelType w:val="hybridMultilevel"/>
    <w:tmpl w:val="A902401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15:restartNumberingAfterBreak="0">
    <w:nsid w:val="340D1DB6"/>
    <w:multiLevelType w:val="hybridMultilevel"/>
    <w:tmpl w:val="14A09E22"/>
    <w:lvl w:ilvl="0" w:tplc="2BCCB46E">
      <w:start w:val="3"/>
      <w:numFmt w:val="bullet"/>
      <w:lvlText w:val="•"/>
      <w:lvlJc w:val="left"/>
      <w:pPr>
        <w:ind w:left="720" w:hanging="360"/>
      </w:pPr>
      <w:rPr>
        <w:rFonts w:ascii="Courier New" w:eastAsiaTheme="minorHAnsi"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7" w15:restartNumberingAfterBreak="0">
    <w:nsid w:val="3491525A"/>
    <w:multiLevelType w:val="hybridMultilevel"/>
    <w:tmpl w:val="2FF429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8" w15:restartNumberingAfterBreak="0">
    <w:nsid w:val="34B83785"/>
    <w:multiLevelType w:val="hybridMultilevel"/>
    <w:tmpl w:val="53788A2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9" w15:restartNumberingAfterBreak="0">
    <w:nsid w:val="34C51A88"/>
    <w:multiLevelType w:val="hybridMultilevel"/>
    <w:tmpl w:val="1E74BBFA"/>
    <w:lvl w:ilvl="0" w:tplc="E6AAA6AE">
      <w:start w:val="6"/>
      <w:numFmt w:val="decimal"/>
      <w:lvlText w:val="%1."/>
      <w:lvlJc w:val="left"/>
      <w:pPr>
        <w:ind w:left="120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1" w:tplc="0CE4D318">
      <w:start w:val="1"/>
      <w:numFmt w:val="lowerRoman"/>
      <w:lvlText w:val="(%2)"/>
      <w:lvlJc w:val="left"/>
      <w:pPr>
        <w:ind w:left="16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E00A981E">
      <w:start w:val="1"/>
      <w:numFmt w:val="lowerRoman"/>
      <w:lvlText w:val="%3"/>
      <w:lvlJc w:val="left"/>
      <w:pPr>
        <w:ind w:left="20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5088FCE2">
      <w:start w:val="1"/>
      <w:numFmt w:val="decimal"/>
      <w:lvlText w:val="%4"/>
      <w:lvlJc w:val="left"/>
      <w:pPr>
        <w:ind w:left="27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1430F48E">
      <w:start w:val="1"/>
      <w:numFmt w:val="lowerLetter"/>
      <w:lvlText w:val="%5"/>
      <w:lvlJc w:val="left"/>
      <w:pPr>
        <w:ind w:left="34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9BFA458A">
      <w:start w:val="1"/>
      <w:numFmt w:val="lowerRoman"/>
      <w:lvlText w:val="%6"/>
      <w:lvlJc w:val="left"/>
      <w:pPr>
        <w:ind w:left="42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34AE8420">
      <w:start w:val="1"/>
      <w:numFmt w:val="decimal"/>
      <w:lvlText w:val="%7"/>
      <w:lvlJc w:val="left"/>
      <w:pPr>
        <w:ind w:left="49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6708FE80">
      <w:start w:val="1"/>
      <w:numFmt w:val="lowerLetter"/>
      <w:lvlText w:val="%8"/>
      <w:lvlJc w:val="left"/>
      <w:pPr>
        <w:ind w:left="56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3E0843FE">
      <w:start w:val="1"/>
      <w:numFmt w:val="lowerRoman"/>
      <w:lvlText w:val="%9"/>
      <w:lvlJc w:val="left"/>
      <w:pPr>
        <w:ind w:left="6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60" w15:restartNumberingAfterBreak="0">
    <w:nsid w:val="362A1CB0"/>
    <w:multiLevelType w:val="hybridMultilevel"/>
    <w:tmpl w:val="87DC8F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1" w15:restartNumberingAfterBreak="0">
    <w:nsid w:val="375D291F"/>
    <w:multiLevelType w:val="hybridMultilevel"/>
    <w:tmpl w:val="AF6C361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15:restartNumberingAfterBreak="0">
    <w:nsid w:val="384C72C8"/>
    <w:multiLevelType w:val="hybridMultilevel"/>
    <w:tmpl w:val="4184BF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3" w15:restartNumberingAfterBreak="0">
    <w:nsid w:val="39F0708D"/>
    <w:multiLevelType w:val="hybridMultilevel"/>
    <w:tmpl w:val="32F67CF2"/>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4" w15:restartNumberingAfterBreak="0">
    <w:nsid w:val="3A660FB6"/>
    <w:multiLevelType w:val="hybridMultilevel"/>
    <w:tmpl w:val="F3BE741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15:restartNumberingAfterBreak="0">
    <w:nsid w:val="3C107C83"/>
    <w:multiLevelType w:val="hybridMultilevel"/>
    <w:tmpl w:val="0F129C4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6" w15:restartNumberingAfterBreak="0">
    <w:nsid w:val="3DCE43BA"/>
    <w:multiLevelType w:val="hybridMultilevel"/>
    <w:tmpl w:val="DF28B9D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7" w15:restartNumberingAfterBreak="0">
    <w:nsid w:val="3EB30D92"/>
    <w:multiLevelType w:val="hybridMultilevel"/>
    <w:tmpl w:val="B0DC81F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8" w15:restartNumberingAfterBreak="0">
    <w:nsid w:val="3EFF0AF0"/>
    <w:multiLevelType w:val="hybridMultilevel"/>
    <w:tmpl w:val="92042F76"/>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9" w15:restartNumberingAfterBreak="0">
    <w:nsid w:val="417E382C"/>
    <w:multiLevelType w:val="hybridMultilevel"/>
    <w:tmpl w:val="7FF677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15:restartNumberingAfterBreak="0">
    <w:nsid w:val="41FE66F5"/>
    <w:multiLevelType w:val="hybridMultilevel"/>
    <w:tmpl w:val="1F50C9D8"/>
    <w:lvl w:ilvl="0" w:tplc="4C3049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1" w15:restartNumberingAfterBreak="0">
    <w:nsid w:val="42D65A5C"/>
    <w:multiLevelType w:val="hybridMultilevel"/>
    <w:tmpl w:val="A32ECBB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2" w15:restartNumberingAfterBreak="0">
    <w:nsid w:val="430E3742"/>
    <w:multiLevelType w:val="hybridMultilevel"/>
    <w:tmpl w:val="2432D4C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3" w15:restartNumberingAfterBreak="0">
    <w:nsid w:val="43C10E76"/>
    <w:multiLevelType w:val="hybridMultilevel"/>
    <w:tmpl w:val="00BC71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4" w15:restartNumberingAfterBreak="0">
    <w:nsid w:val="46102479"/>
    <w:multiLevelType w:val="hybridMultilevel"/>
    <w:tmpl w:val="E3C6A1D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5" w15:restartNumberingAfterBreak="0">
    <w:nsid w:val="48523135"/>
    <w:multiLevelType w:val="hybridMultilevel"/>
    <w:tmpl w:val="1C8C6D52"/>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6" w15:restartNumberingAfterBreak="0">
    <w:nsid w:val="4B1B7E6D"/>
    <w:multiLevelType w:val="hybridMultilevel"/>
    <w:tmpl w:val="CABC0F4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7" w15:restartNumberingAfterBreak="0">
    <w:nsid w:val="4D5908B0"/>
    <w:multiLevelType w:val="hybridMultilevel"/>
    <w:tmpl w:val="F2AEAC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8" w15:restartNumberingAfterBreak="0">
    <w:nsid w:val="4DAC0DAE"/>
    <w:multiLevelType w:val="hybridMultilevel"/>
    <w:tmpl w:val="05C0E30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9" w15:restartNumberingAfterBreak="0">
    <w:nsid w:val="4E391A87"/>
    <w:multiLevelType w:val="hybridMultilevel"/>
    <w:tmpl w:val="A0C42486"/>
    <w:lvl w:ilvl="0" w:tplc="4C3049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0" w15:restartNumberingAfterBreak="0">
    <w:nsid w:val="4E8D3D76"/>
    <w:multiLevelType w:val="hybridMultilevel"/>
    <w:tmpl w:val="0B806FFA"/>
    <w:lvl w:ilvl="0" w:tplc="2BCCB46E">
      <w:start w:val="3"/>
      <w:numFmt w:val="bullet"/>
      <w:lvlText w:val="•"/>
      <w:lvlJc w:val="left"/>
      <w:pPr>
        <w:ind w:left="720" w:hanging="360"/>
      </w:pPr>
      <w:rPr>
        <w:rFonts w:ascii="Courier New" w:eastAsiaTheme="minorHAnsi"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1" w15:restartNumberingAfterBreak="0">
    <w:nsid w:val="532E4CB2"/>
    <w:multiLevelType w:val="hybridMultilevel"/>
    <w:tmpl w:val="3C82B41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2" w15:restartNumberingAfterBreak="0">
    <w:nsid w:val="545C20CE"/>
    <w:multiLevelType w:val="hybridMultilevel"/>
    <w:tmpl w:val="85A0B66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3" w15:restartNumberingAfterBreak="0">
    <w:nsid w:val="56F24620"/>
    <w:multiLevelType w:val="hybridMultilevel"/>
    <w:tmpl w:val="FCBE9EC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4" w15:restartNumberingAfterBreak="0">
    <w:nsid w:val="57CB55AC"/>
    <w:multiLevelType w:val="hybridMultilevel"/>
    <w:tmpl w:val="024A20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5" w15:restartNumberingAfterBreak="0">
    <w:nsid w:val="58EC1D34"/>
    <w:multiLevelType w:val="hybridMultilevel"/>
    <w:tmpl w:val="276EF35A"/>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6" w15:restartNumberingAfterBreak="0">
    <w:nsid w:val="5B3007E7"/>
    <w:multiLevelType w:val="hybridMultilevel"/>
    <w:tmpl w:val="8DE0467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7" w15:restartNumberingAfterBreak="0">
    <w:nsid w:val="5B3C5F8B"/>
    <w:multiLevelType w:val="hybridMultilevel"/>
    <w:tmpl w:val="5434BE4E"/>
    <w:lvl w:ilvl="0" w:tplc="2BCCB46E">
      <w:start w:val="3"/>
      <w:numFmt w:val="bullet"/>
      <w:lvlText w:val="•"/>
      <w:lvlJc w:val="left"/>
      <w:pPr>
        <w:ind w:left="720" w:hanging="360"/>
      </w:pPr>
      <w:rPr>
        <w:rFonts w:ascii="Courier New" w:eastAsiaTheme="minorHAnsi"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8" w15:restartNumberingAfterBreak="0">
    <w:nsid w:val="5C2F3734"/>
    <w:multiLevelType w:val="hybridMultilevel"/>
    <w:tmpl w:val="EC02905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9" w15:restartNumberingAfterBreak="0">
    <w:nsid w:val="5C4F7A3C"/>
    <w:multiLevelType w:val="hybridMultilevel"/>
    <w:tmpl w:val="60AC2B80"/>
    <w:lvl w:ilvl="0" w:tplc="4C3049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0" w15:restartNumberingAfterBreak="0">
    <w:nsid w:val="5CF32150"/>
    <w:multiLevelType w:val="hybridMultilevel"/>
    <w:tmpl w:val="702014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1" w15:restartNumberingAfterBreak="0">
    <w:nsid w:val="5CF7334A"/>
    <w:multiLevelType w:val="hybridMultilevel"/>
    <w:tmpl w:val="A86838B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2" w15:restartNumberingAfterBreak="0">
    <w:nsid w:val="5D5E258E"/>
    <w:multiLevelType w:val="hybridMultilevel"/>
    <w:tmpl w:val="0748BBAA"/>
    <w:lvl w:ilvl="0" w:tplc="09AEC376">
      <w:start w:val="1"/>
      <w:numFmt w:val="lowerRoman"/>
      <w:lvlText w:val="(%1)"/>
      <w:lvlJc w:val="left"/>
      <w:pPr>
        <w:ind w:left="191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1C7E903A">
      <w:start w:val="1"/>
      <w:numFmt w:val="lowerLetter"/>
      <w:lvlText w:val="%2"/>
      <w:lvlJc w:val="left"/>
      <w:pPr>
        <w:ind w:left="32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9E9680C8">
      <w:start w:val="1"/>
      <w:numFmt w:val="lowerRoman"/>
      <w:lvlText w:val="%3"/>
      <w:lvlJc w:val="left"/>
      <w:pPr>
        <w:ind w:left="39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03124B6C">
      <w:start w:val="1"/>
      <w:numFmt w:val="decimal"/>
      <w:lvlText w:val="%4"/>
      <w:lvlJc w:val="left"/>
      <w:pPr>
        <w:ind w:left="46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D1B81108">
      <w:start w:val="1"/>
      <w:numFmt w:val="lowerLetter"/>
      <w:lvlText w:val="%5"/>
      <w:lvlJc w:val="left"/>
      <w:pPr>
        <w:ind w:left="54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C9F075A2">
      <w:start w:val="1"/>
      <w:numFmt w:val="lowerRoman"/>
      <w:lvlText w:val="%6"/>
      <w:lvlJc w:val="left"/>
      <w:pPr>
        <w:ind w:left="61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4D202140">
      <w:start w:val="1"/>
      <w:numFmt w:val="decimal"/>
      <w:lvlText w:val="%7"/>
      <w:lvlJc w:val="left"/>
      <w:pPr>
        <w:ind w:left="68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0E38E662">
      <w:start w:val="1"/>
      <w:numFmt w:val="lowerLetter"/>
      <w:lvlText w:val="%8"/>
      <w:lvlJc w:val="left"/>
      <w:pPr>
        <w:ind w:left="75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FE06D3C8">
      <w:start w:val="1"/>
      <w:numFmt w:val="lowerRoman"/>
      <w:lvlText w:val="%9"/>
      <w:lvlJc w:val="left"/>
      <w:pPr>
        <w:ind w:left="82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93" w15:restartNumberingAfterBreak="0">
    <w:nsid w:val="5D8201B0"/>
    <w:multiLevelType w:val="hybridMultilevel"/>
    <w:tmpl w:val="C66EF1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4" w15:restartNumberingAfterBreak="0">
    <w:nsid w:val="5E760D42"/>
    <w:multiLevelType w:val="hybridMultilevel"/>
    <w:tmpl w:val="97FC2C02"/>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5" w15:restartNumberingAfterBreak="0">
    <w:nsid w:val="5EA0618E"/>
    <w:multiLevelType w:val="hybridMultilevel"/>
    <w:tmpl w:val="931401E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6" w15:restartNumberingAfterBreak="0">
    <w:nsid w:val="5F6742E2"/>
    <w:multiLevelType w:val="hybridMultilevel"/>
    <w:tmpl w:val="E72AD5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7" w15:restartNumberingAfterBreak="0">
    <w:nsid w:val="61327D06"/>
    <w:multiLevelType w:val="hybridMultilevel"/>
    <w:tmpl w:val="2714A2CA"/>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8" w15:restartNumberingAfterBreak="0">
    <w:nsid w:val="62C913B7"/>
    <w:multiLevelType w:val="hybridMultilevel"/>
    <w:tmpl w:val="17684FD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9" w15:restartNumberingAfterBreak="0">
    <w:nsid w:val="62CA283C"/>
    <w:multiLevelType w:val="hybridMultilevel"/>
    <w:tmpl w:val="90D027A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0" w15:restartNumberingAfterBreak="0">
    <w:nsid w:val="634641EA"/>
    <w:multiLevelType w:val="hybridMultilevel"/>
    <w:tmpl w:val="05201B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1" w15:restartNumberingAfterBreak="0">
    <w:nsid w:val="63EE7ADD"/>
    <w:multiLevelType w:val="hybridMultilevel"/>
    <w:tmpl w:val="8F3C6E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2" w15:restartNumberingAfterBreak="0">
    <w:nsid w:val="648340BC"/>
    <w:multiLevelType w:val="hybridMultilevel"/>
    <w:tmpl w:val="56AA50C8"/>
    <w:lvl w:ilvl="0" w:tplc="83501842">
      <w:start w:val="1"/>
      <w:numFmt w:val="decimal"/>
      <w:lvlText w:val="%1"/>
      <w:lvlJc w:val="left"/>
      <w:pPr>
        <w:ind w:left="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EEA00018">
      <w:start w:val="1"/>
      <w:numFmt w:val="lowerLetter"/>
      <w:lvlText w:val="%2"/>
      <w:lvlJc w:val="left"/>
      <w:pPr>
        <w:ind w:left="10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02F0FF92">
      <w:start w:val="1"/>
      <w:numFmt w:val="lowerLetter"/>
      <w:lvlRestart w:val="0"/>
      <w:lvlText w:val="(%3)"/>
      <w:lvlJc w:val="left"/>
      <w:pPr>
        <w:ind w:left="2165"/>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29842782">
      <w:start w:val="1"/>
      <w:numFmt w:val="decimal"/>
      <w:lvlText w:val="%4"/>
      <w:lvlJc w:val="left"/>
      <w:pPr>
        <w:ind w:left="25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FF72806A">
      <w:start w:val="1"/>
      <w:numFmt w:val="lowerLetter"/>
      <w:lvlText w:val="%5"/>
      <w:lvlJc w:val="left"/>
      <w:pPr>
        <w:ind w:left="32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DA56A540">
      <w:start w:val="1"/>
      <w:numFmt w:val="lowerRoman"/>
      <w:lvlText w:val="%6"/>
      <w:lvlJc w:val="left"/>
      <w:pPr>
        <w:ind w:left="39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21728272">
      <w:start w:val="1"/>
      <w:numFmt w:val="decimal"/>
      <w:lvlText w:val="%7"/>
      <w:lvlJc w:val="left"/>
      <w:pPr>
        <w:ind w:left="46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C1BCFC46">
      <w:start w:val="1"/>
      <w:numFmt w:val="lowerLetter"/>
      <w:lvlText w:val="%8"/>
      <w:lvlJc w:val="left"/>
      <w:pPr>
        <w:ind w:left="54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B8E0E846">
      <w:start w:val="1"/>
      <w:numFmt w:val="lowerRoman"/>
      <w:lvlText w:val="%9"/>
      <w:lvlJc w:val="left"/>
      <w:pPr>
        <w:ind w:left="61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03" w15:restartNumberingAfterBreak="0">
    <w:nsid w:val="64E5046D"/>
    <w:multiLevelType w:val="hybridMultilevel"/>
    <w:tmpl w:val="F67EFC2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4" w15:restartNumberingAfterBreak="0">
    <w:nsid w:val="652B6576"/>
    <w:multiLevelType w:val="hybridMultilevel"/>
    <w:tmpl w:val="7E783EB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5" w15:restartNumberingAfterBreak="0">
    <w:nsid w:val="658451D9"/>
    <w:multiLevelType w:val="hybridMultilevel"/>
    <w:tmpl w:val="71624D8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6" w15:restartNumberingAfterBreak="0">
    <w:nsid w:val="687D5305"/>
    <w:multiLevelType w:val="hybridMultilevel"/>
    <w:tmpl w:val="77161D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7" w15:restartNumberingAfterBreak="0">
    <w:nsid w:val="68BC4FED"/>
    <w:multiLevelType w:val="hybridMultilevel"/>
    <w:tmpl w:val="078CE07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8" w15:restartNumberingAfterBreak="0">
    <w:nsid w:val="6B461985"/>
    <w:multiLevelType w:val="hybridMultilevel"/>
    <w:tmpl w:val="946A33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9" w15:restartNumberingAfterBreak="0">
    <w:nsid w:val="6B4E6267"/>
    <w:multiLevelType w:val="hybridMultilevel"/>
    <w:tmpl w:val="9BACC6AA"/>
    <w:lvl w:ilvl="0" w:tplc="EEB085F6">
      <w:start w:val="4"/>
      <w:numFmt w:val="decimal"/>
      <w:lvlText w:val="%1"/>
      <w:lvlJc w:val="left"/>
      <w:pPr>
        <w:ind w:left="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AF140F72">
      <w:start w:val="1"/>
      <w:numFmt w:val="lowerLetter"/>
      <w:lvlText w:val="%2"/>
      <w:lvlJc w:val="left"/>
      <w:pPr>
        <w:ind w:left="22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F8B4D360">
      <w:start w:val="1"/>
      <w:numFmt w:val="lowerRoman"/>
      <w:lvlText w:val="%3"/>
      <w:lvlJc w:val="left"/>
      <w:pPr>
        <w:ind w:left="30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8CEA87AC">
      <w:start w:val="1"/>
      <w:numFmt w:val="decimal"/>
      <w:lvlText w:val="%4"/>
      <w:lvlJc w:val="left"/>
      <w:pPr>
        <w:ind w:left="37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67627C84">
      <w:start w:val="1"/>
      <w:numFmt w:val="lowerLetter"/>
      <w:lvlText w:val="%5"/>
      <w:lvlJc w:val="left"/>
      <w:pPr>
        <w:ind w:left="44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417EF6C4">
      <w:start w:val="1"/>
      <w:numFmt w:val="lowerRoman"/>
      <w:lvlText w:val="%6"/>
      <w:lvlJc w:val="left"/>
      <w:pPr>
        <w:ind w:left="51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63E8240A">
      <w:start w:val="1"/>
      <w:numFmt w:val="decimal"/>
      <w:lvlText w:val="%7"/>
      <w:lvlJc w:val="left"/>
      <w:pPr>
        <w:ind w:left="58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EC7C0BAC">
      <w:start w:val="1"/>
      <w:numFmt w:val="lowerLetter"/>
      <w:lvlText w:val="%8"/>
      <w:lvlJc w:val="left"/>
      <w:pPr>
        <w:ind w:left="66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11089B8A">
      <w:start w:val="1"/>
      <w:numFmt w:val="lowerRoman"/>
      <w:lvlText w:val="%9"/>
      <w:lvlJc w:val="left"/>
      <w:pPr>
        <w:ind w:left="73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10" w15:restartNumberingAfterBreak="0">
    <w:nsid w:val="6B805778"/>
    <w:multiLevelType w:val="hybridMultilevel"/>
    <w:tmpl w:val="BE2E9E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1" w15:restartNumberingAfterBreak="0">
    <w:nsid w:val="6C7178BA"/>
    <w:multiLevelType w:val="hybridMultilevel"/>
    <w:tmpl w:val="A0929264"/>
    <w:lvl w:ilvl="0" w:tplc="4009001B">
      <w:start w:val="1"/>
      <w:numFmt w:val="lowerRoman"/>
      <w:lvlText w:val="%1."/>
      <w:lvlJc w:val="righ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2" w15:restartNumberingAfterBreak="0">
    <w:nsid w:val="6C9D1886"/>
    <w:multiLevelType w:val="hybridMultilevel"/>
    <w:tmpl w:val="E85234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3" w15:restartNumberingAfterBreak="0">
    <w:nsid w:val="6E661A1F"/>
    <w:multiLevelType w:val="hybridMultilevel"/>
    <w:tmpl w:val="9CE6A54A"/>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4" w15:restartNumberingAfterBreak="0">
    <w:nsid w:val="70430B31"/>
    <w:multiLevelType w:val="hybridMultilevel"/>
    <w:tmpl w:val="01D6E2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5" w15:restartNumberingAfterBreak="0">
    <w:nsid w:val="71174889"/>
    <w:multiLevelType w:val="hybridMultilevel"/>
    <w:tmpl w:val="D2EC272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6" w15:restartNumberingAfterBreak="0">
    <w:nsid w:val="72D10648"/>
    <w:multiLevelType w:val="hybridMultilevel"/>
    <w:tmpl w:val="76C608E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7" w15:restartNumberingAfterBreak="0">
    <w:nsid w:val="733341B8"/>
    <w:multiLevelType w:val="hybridMultilevel"/>
    <w:tmpl w:val="BFB290A4"/>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8" w15:restartNumberingAfterBreak="0">
    <w:nsid w:val="75946F79"/>
    <w:multiLevelType w:val="hybridMultilevel"/>
    <w:tmpl w:val="6ABAFE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9" w15:restartNumberingAfterBreak="0">
    <w:nsid w:val="77BF1EF1"/>
    <w:multiLevelType w:val="hybridMultilevel"/>
    <w:tmpl w:val="8C66BB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0" w15:restartNumberingAfterBreak="0">
    <w:nsid w:val="79DD5CAB"/>
    <w:multiLevelType w:val="hybridMultilevel"/>
    <w:tmpl w:val="ABE4CAF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1" w15:restartNumberingAfterBreak="0">
    <w:nsid w:val="7A5C63AC"/>
    <w:multiLevelType w:val="hybridMultilevel"/>
    <w:tmpl w:val="4FCCB60C"/>
    <w:lvl w:ilvl="0" w:tplc="4C3049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2" w15:restartNumberingAfterBreak="0">
    <w:nsid w:val="7BD61DD3"/>
    <w:multiLevelType w:val="hybridMultilevel"/>
    <w:tmpl w:val="9C72609C"/>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3" w15:restartNumberingAfterBreak="0">
    <w:nsid w:val="7D5574F4"/>
    <w:multiLevelType w:val="hybridMultilevel"/>
    <w:tmpl w:val="2D00A20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4" w15:restartNumberingAfterBreak="0">
    <w:nsid w:val="7E1F3B3C"/>
    <w:multiLevelType w:val="hybridMultilevel"/>
    <w:tmpl w:val="5B9E487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5" w15:restartNumberingAfterBreak="0">
    <w:nsid w:val="7EF9695E"/>
    <w:multiLevelType w:val="hybridMultilevel"/>
    <w:tmpl w:val="F66C2D9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6" w15:restartNumberingAfterBreak="0">
    <w:nsid w:val="7F0A7FE8"/>
    <w:multiLevelType w:val="hybridMultilevel"/>
    <w:tmpl w:val="757A6A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7" w15:restartNumberingAfterBreak="0">
    <w:nsid w:val="7F5379BB"/>
    <w:multiLevelType w:val="hybridMultilevel"/>
    <w:tmpl w:val="98A6BB9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8"/>
  </w:num>
  <w:num w:numId="2">
    <w:abstractNumId w:val="76"/>
  </w:num>
  <w:num w:numId="3">
    <w:abstractNumId w:val="12"/>
  </w:num>
  <w:num w:numId="4">
    <w:abstractNumId w:val="88"/>
  </w:num>
  <w:num w:numId="5">
    <w:abstractNumId w:val="32"/>
  </w:num>
  <w:num w:numId="6">
    <w:abstractNumId w:val="6"/>
  </w:num>
  <w:num w:numId="7">
    <w:abstractNumId w:val="28"/>
  </w:num>
  <w:num w:numId="8">
    <w:abstractNumId w:val="83"/>
  </w:num>
  <w:num w:numId="9">
    <w:abstractNumId w:val="41"/>
  </w:num>
  <w:num w:numId="10">
    <w:abstractNumId w:val="78"/>
  </w:num>
  <w:num w:numId="11">
    <w:abstractNumId w:val="99"/>
  </w:num>
  <w:num w:numId="12">
    <w:abstractNumId w:val="66"/>
  </w:num>
  <w:num w:numId="13">
    <w:abstractNumId w:val="14"/>
  </w:num>
  <w:num w:numId="14">
    <w:abstractNumId w:val="121"/>
  </w:num>
  <w:num w:numId="15">
    <w:abstractNumId w:val="25"/>
  </w:num>
  <w:num w:numId="16">
    <w:abstractNumId w:val="79"/>
  </w:num>
  <w:num w:numId="17">
    <w:abstractNumId w:val="89"/>
  </w:num>
  <w:num w:numId="18">
    <w:abstractNumId w:val="70"/>
  </w:num>
  <w:num w:numId="19">
    <w:abstractNumId w:val="7"/>
  </w:num>
  <w:num w:numId="20">
    <w:abstractNumId w:val="123"/>
  </w:num>
  <w:num w:numId="21">
    <w:abstractNumId w:val="55"/>
  </w:num>
  <w:num w:numId="22">
    <w:abstractNumId w:val="46"/>
  </w:num>
  <w:num w:numId="23">
    <w:abstractNumId w:val="30"/>
  </w:num>
  <w:num w:numId="24">
    <w:abstractNumId w:val="2"/>
  </w:num>
  <w:num w:numId="25">
    <w:abstractNumId w:val="4"/>
  </w:num>
  <w:num w:numId="26">
    <w:abstractNumId w:val="96"/>
  </w:num>
  <w:num w:numId="27">
    <w:abstractNumId w:val="36"/>
  </w:num>
  <w:num w:numId="28">
    <w:abstractNumId w:val="71"/>
  </w:num>
  <w:num w:numId="29">
    <w:abstractNumId w:val="47"/>
  </w:num>
  <w:num w:numId="30">
    <w:abstractNumId w:val="115"/>
  </w:num>
  <w:num w:numId="31">
    <w:abstractNumId w:val="82"/>
  </w:num>
  <w:num w:numId="32">
    <w:abstractNumId w:val="61"/>
  </w:num>
  <w:num w:numId="33">
    <w:abstractNumId w:val="38"/>
  </w:num>
  <w:num w:numId="34">
    <w:abstractNumId w:val="52"/>
  </w:num>
  <w:num w:numId="35">
    <w:abstractNumId w:val="72"/>
  </w:num>
  <w:num w:numId="36">
    <w:abstractNumId w:val="120"/>
  </w:num>
  <w:num w:numId="37">
    <w:abstractNumId w:val="98"/>
  </w:num>
  <w:num w:numId="38">
    <w:abstractNumId w:val="37"/>
  </w:num>
  <w:num w:numId="39">
    <w:abstractNumId w:val="127"/>
  </w:num>
  <w:num w:numId="40">
    <w:abstractNumId w:val="45"/>
  </w:num>
  <w:num w:numId="41">
    <w:abstractNumId w:val="95"/>
  </w:num>
  <w:num w:numId="42">
    <w:abstractNumId w:val="43"/>
  </w:num>
  <w:num w:numId="43">
    <w:abstractNumId w:val="124"/>
  </w:num>
  <w:num w:numId="44">
    <w:abstractNumId w:val="104"/>
  </w:num>
  <w:num w:numId="45">
    <w:abstractNumId w:val="15"/>
  </w:num>
  <w:num w:numId="46">
    <w:abstractNumId w:val="20"/>
  </w:num>
  <w:num w:numId="47">
    <w:abstractNumId w:val="91"/>
  </w:num>
  <w:num w:numId="48">
    <w:abstractNumId w:val="111"/>
  </w:num>
  <w:num w:numId="49">
    <w:abstractNumId w:val="122"/>
  </w:num>
  <w:num w:numId="50">
    <w:abstractNumId w:val="10"/>
  </w:num>
  <w:num w:numId="51">
    <w:abstractNumId w:val="64"/>
  </w:num>
  <w:num w:numId="52">
    <w:abstractNumId w:val="67"/>
  </w:num>
  <w:num w:numId="53">
    <w:abstractNumId w:val="57"/>
  </w:num>
  <w:num w:numId="54">
    <w:abstractNumId w:val="125"/>
  </w:num>
  <w:num w:numId="55">
    <w:abstractNumId w:val="86"/>
  </w:num>
  <w:num w:numId="56">
    <w:abstractNumId w:val="93"/>
  </w:num>
  <w:num w:numId="57">
    <w:abstractNumId w:val="84"/>
  </w:num>
  <w:num w:numId="58">
    <w:abstractNumId w:val="53"/>
  </w:num>
  <w:num w:numId="59">
    <w:abstractNumId w:val="112"/>
  </w:num>
  <w:num w:numId="60">
    <w:abstractNumId w:val="18"/>
  </w:num>
  <w:num w:numId="61">
    <w:abstractNumId w:val="119"/>
  </w:num>
  <w:num w:numId="62">
    <w:abstractNumId w:val="106"/>
  </w:num>
  <w:num w:numId="63">
    <w:abstractNumId w:val="108"/>
  </w:num>
  <w:num w:numId="64">
    <w:abstractNumId w:val="126"/>
  </w:num>
  <w:num w:numId="65">
    <w:abstractNumId w:val="60"/>
  </w:num>
  <w:num w:numId="66">
    <w:abstractNumId w:val="114"/>
  </w:num>
  <w:num w:numId="67">
    <w:abstractNumId w:val="31"/>
  </w:num>
  <w:num w:numId="68">
    <w:abstractNumId w:val="42"/>
  </w:num>
  <w:num w:numId="69">
    <w:abstractNumId w:val="62"/>
  </w:num>
  <w:num w:numId="70">
    <w:abstractNumId w:val="21"/>
  </w:num>
  <w:num w:numId="71">
    <w:abstractNumId w:val="100"/>
  </w:num>
  <w:num w:numId="72">
    <w:abstractNumId w:val="23"/>
  </w:num>
  <w:num w:numId="73">
    <w:abstractNumId w:val="11"/>
  </w:num>
  <w:num w:numId="74">
    <w:abstractNumId w:val="51"/>
  </w:num>
  <w:num w:numId="75">
    <w:abstractNumId w:val="0"/>
  </w:num>
  <w:num w:numId="76">
    <w:abstractNumId w:val="39"/>
  </w:num>
  <w:num w:numId="77">
    <w:abstractNumId w:val="34"/>
  </w:num>
  <w:num w:numId="78">
    <w:abstractNumId w:val="33"/>
  </w:num>
  <w:num w:numId="79">
    <w:abstractNumId w:val="110"/>
  </w:num>
  <w:num w:numId="80">
    <w:abstractNumId w:val="27"/>
  </w:num>
  <w:num w:numId="81">
    <w:abstractNumId w:val="22"/>
  </w:num>
  <w:num w:numId="82">
    <w:abstractNumId w:val="118"/>
  </w:num>
  <w:num w:numId="83">
    <w:abstractNumId w:val="90"/>
  </w:num>
  <w:num w:numId="84">
    <w:abstractNumId w:val="101"/>
  </w:num>
  <w:num w:numId="85">
    <w:abstractNumId w:val="35"/>
  </w:num>
  <w:num w:numId="86">
    <w:abstractNumId w:val="49"/>
  </w:num>
  <w:num w:numId="87">
    <w:abstractNumId w:val="73"/>
  </w:num>
  <w:num w:numId="88">
    <w:abstractNumId w:val="69"/>
  </w:num>
  <w:num w:numId="89">
    <w:abstractNumId w:val="16"/>
  </w:num>
  <w:num w:numId="90">
    <w:abstractNumId w:val="77"/>
  </w:num>
  <w:num w:numId="91">
    <w:abstractNumId w:val="74"/>
  </w:num>
  <w:num w:numId="92">
    <w:abstractNumId w:val="8"/>
  </w:num>
  <w:num w:numId="93">
    <w:abstractNumId w:val="81"/>
  </w:num>
  <w:num w:numId="94">
    <w:abstractNumId w:val="9"/>
  </w:num>
  <w:num w:numId="95">
    <w:abstractNumId w:val="105"/>
  </w:num>
  <w:num w:numId="96">
    <w:abstractNumId w:val="58"/>
  </w:num>
  <w:num w:numId="97">
    <w:abstractNumId w:val="17"/>
  </w:num>
  <w:num w:numId="98">
    <w:abstractNumId w:val="68"/>
  </w:num>
  <w:num w:numId="99">
    <w:abstractNumId w:val="116"/>
  </w:num>
  <w:num w:numId="100">
    <w:abstractNumId w:val="5"/>
  </w:num>
  <w:num w:numId="101">
    <w:abstractNumId w:val="1"/>
  </w:num>
  <w:num w:numId="102">
    <w:abstractNumId w:val="107"/>
  </w:num>
  <w:num w:numId="103">
    <w:abstractNumId w:val="80"/>
  </w:num>
  <w:num w:numId="104">
    <w:abstractNumId w:val="29"/>
  </w:num>
  <w:num w:numId="105">
    <w:abstractNumId w:val="65"/>
  </w:num>
  <w:num w:numId="106">
    <w:abstractNumId w:val="54"/>
  </w:num>
  <w:num w:numId="107">
    <w:abstractNumId w:val="40"/>
  </w:num>
  <w:num w:numId="108">
    <w:abstractNumId w:val="97"/>
  </w:num>
  <w:num w:numId="109">
    <w:abstractNumId w:val="103"/>
  </w:num>
  <w:num w:numId="110">
    <w:abstractNumId w:val="113"/>
  </w:num>
  <w:num w:numId="111">
    <w:abstractNumId w:val="94"/>
  </w:num>
  <w:num w:numId="112">
    <w:abstractNumId w:val="19"/>
  </w:num>
  <w:num w:numId="113">
    <w:abstractNumId w:val="117"/>
  </w:num>
  <w:num w:numId="114">
    <w:abstractNumId w:val="13"/>
  </w:num>
  <w:num w:numId="115">
    <w:abstractNumId w:val="75"/>
  </w:num>
  <w:num w:numId="116">
    <w:abstractNumId w:val="56"/>
  </w:num>
  <w:num w:numId="117">
    <w:abstractNumId w:val="87"/>
  </w:num>
  <w:num w:numId="118">
    <w:abstractNumId w:val="63"/>
  </w:num>
  <w:num w:numId="119">
    <w:abstractNumId w:val="24"/>
  </w:num>
  <w:num w:numId="120">
    <w:abstractNumId w:val="85"/>
  </w:num>
  <w:num w:numId="121">
    <w:abstractNumId w:val="59"/>
  </w:num>
  <w:num w:numId="122">
    <w:abstractNumId w:val="102"/>
  </w:num>
  <w:num w:numId="123">
    <w:abstractNumId w:val="50"/>
  </w:num>
  <w:num w:numId="124">
    <w:abstractNumId w:val="92"/>
  </w:num>
  <w:num w:numId="125">
    <w:abstractNumId w:val="26"/>
  </w:num>
  <w:num w:numId="126">
    <w:abstractNumId w:val="44"/>
  </w:num>
  <w:num w:numId="127">
    <w:abstractNumId w:val="3"/>
  </w:num>
  <w:num w:numId="128">
    <w:abstractNumId w:val="109"/>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7F7"/>
    <w:rsid w:val="00017322"/>
    <w:rsid w:val="00027B70"/>
    <w:rsid w:val="00037042"/>
    <w:rsid w:val="00064158"/>
    <w:rsid w:val="000B3F63"/>
    <w:rsid w:val="000B5970"/>
    <w:rsid w:val="000C5651"/>
    <w:rsid w:val="000E38B1"/>
    <w:rsid w:val="001128C2"/>
    <w:rsid w:val="001150FE"/>
    <w:rsid w:val="00154274"/>
    <w:rsid w:val="001939A2"/>
    <w:rsid w:val="001A0D55"/>
    <w:rsid w:val="001A7667"/>
    <w:rsid w:val="001B13D4"/>
    <w:rsid w:val="001C66A9"/>
    <w:rsid w:val="001C66C4"/>
    <w:rsid w:val="001E4BCE"/>
    <w:rsid w:val="002321B6"/>
    <w:rsid w:val="00245F0D"/>
    <w:rsid w:val="00257BAE"/>
    <w:rsid w:val="002749A9"/>
    <w:rsid w:val="0031109D"/>
    <w:rsid w:val="00314531"/>
    <w:rsid w:val="00317E1B"/>
    <w:rsid w:val="003405AC"/>
    <w:rsid w:val="00345B73"/>
    <w:rsid w:val="00352E06"/>
    <w:rsid w:val="00374F45"/>
    <w:rsid w:val="003B251E"/>
    <w:rsid w:val="003E4425"/>
    <w:rsid w:val="00410AB0"/>
    <w:rsid w:val="00413694"/>
    <w:rsid w:val="004927DF"/>
    <w:rsid w:val="00497228"/>
    <w:rsid w:val="004A1131"/>
    <w:rsid w:val="004B7FFD"/>
    <w:rsid w:val="004E6570"/>
    <w:rsid w:val="004F09B3"/>
    <w:rsid w:val="005A7BE6"/>
    <w:rsid w:val="005C1CFE"/>
    <w:rsid w:val="00604774"/>
    <w:rsid w:val="00605FDB"/>
    <w:rsid w:val="00624A58"/>
    <w:rsid w:val="00640832"/>
    <w:rsid w:val="00651F60"/>
    <w:rsid w:val="006647F7"/>
    <w:rsid w:val="006746FD"/>
    <w:rsid w:val="0069410D"/>
    <w:rsid w:val="006D67FC"/>
    <w:rsid w:val="006E6305"/>
    <w:rsid w:val="006F5A25"/>
    <w:rsid w:val="007326EC"/>
    <w:rsid w:val="00733313"/>
    <w:rsid w:val="00737627"/>
    <w:rsid w:val="00747B3B"/>
    <w:rsid w:val="00752ACF"/>
    <w:rsid w:val="00757DB4"/>
    <w:rsid w:val="00771547"/>
    <w:rsid w:val="00790380"/>
    <w:rsid w:val="00797144"/>
    <w:rsid w:val="007C36A5"/>
    <w:rsid w:val="007D4FDB"/>
    <w:rsid w:val="0083281D"/>
    <w:rsid w:val="00875F3D"/>
    <w:rsid w:val="00905269"/>
    <w:rsid w:val="00927EDA"/>
    <w:rsid w:val="00947436"/>
    <w:rsid w:val="009506F9"/>
    <w:rsid w:val="00987974"/>
    <w:rsid w:val="00987DE6"/>
    <w:rsid w:val="00994155"/>
    <w:rsid w:val="00A32783"/>
    <w:rsid w:val="00A348AB"/>
    <w:rsid w:val="00A47A10"/>
    <w:rsid w:val="00A71804"/>
    <w:rsid w:val="00AB4350"/>
    <w:rsid w:val="00AE3D54"/>
    <w:rsid w:val="00AF0FE3"/>
    <w:rsid w:val="00AF7560"/>
    <w:rsid w:val="00B00626"/>
    <w:rsid w:val="00B06E1E"/>
    <w:rsid w:val="00B42AEA"/>
    <w:rsid w:val="00B52927"/>
    <w:rsid w:val="00B70A82"/>
    <w:rsid w:val="00BB1DCF"/>
    <w:rsid w:val="00C14D5C"/>
    <w:rsid w:val="00C21AF3"/>
    <w:rsid w:val="00C24FC1"/>
    <w:rsid w:val="00C47163"/>
    <w:rsid w:val="00C6006B"/>
    <w:rsid w:val="00C66772"/>
    <w:rsid w:val="00C75F62"/>
    <w:rsid w:val="00C902C8"/>
    <w:rsid w:val="00CB30A5"/>
    <w:rsid w:val="00CD54AB"/>
    <w:rsid w:val="00CE4A18"/>
    <w:rsid w:val="00CE6B88"/>
    <w:rsid w:val="00CF4314"/>
    <w:rsid w:val="00D03985"/>
    <w:rsid w:val="00D06AAE"/>
    <w:rsid w:val="00D21A92"/>
    <w:rsid w:val="00D3792E"/>
    <w:rsid w:val="00D51445"/>
    <w:rsid w:val="00D8628C"/>
    <w:rsid w:val="00D95DCF"/>
    <w:rsid w:val="00DA6972"/>
    <w:rsid w:val="00DC217E"/>
    <w:rsid w:val="00DE530D"/>
    <w:rsid w:val="00E02DF0"/>
    <w:rsid w:val="00E112B6"/>
    <w:rsid w:val="00E27528"/>
    <w:rsid w:val="00E34CC3"/>
    <w:rsid w:val="00E927A9"/>
    <w:rsid w:val="00EB409B"/>
    <w:rsid w:val="00EF002A"/>
    <w:rsid w:val="00F27324"/>
    <w:rsid w:val="00F67602"/>
    <w:rsid w:val="00F77130"/>
    <w:rsid w:val="00F7726A"/>
    <w:rsid w:val="00F8315F"/>
    <w:rsid w:val="00F86F78"/>
    <w:rsid w:val="00FB3C9F"/>
    <w:rsid w:val="00FE10ED"/>
    <w:rsid w:val="00FF6A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5B7E5"/>
  <w15:chartTrackingRefBased/>
  <w15:docId w15:val="{11FBCC7C-73D0-4044-BD28-DB36A681E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640832"/>
    <w:pPr>
      <w:keepNext/>
      <w:keepLines/>
      <w:spacing w:after="0"/>
      <w:ind w:left="917" w:hanging="10"/>
      <w:jc w:val="center"/>
      <w:outlineLvl w:val="0"/>
    </w:pPr>
    <w:rPr>
      <w:rFonts w:ascii="Times New Roman" w:eastAsia="Times New Roman" w:hAnsi="Times New Roman" w:cs="Times New Roman"/>
      <w:color w:val="181717"/>
      <w:sz w:val="24"/>
      <w:lang w:eastAsia="en-IN"/>
    </w:rPr>
  </w:style>
  <w:style w:type="paragraph" w:styleId="Heading2">
    <w:name w:val="heading 2"/>
    <w:next w:val="Normal"/>
    <w:link w:val="Heading2Char"/>
    <w:uiPriority w:val="9"/>
    <w:unhideWhenUsed/>
    <w:qFormat/>
    <w:rsid w:val="00640832"/>
    <w:pPr>
      <w:keepNext/>
      <w:keepLines/>
      <w:spacing w:after="0"/>
      <w:ind w:left="1205" w:hanging="10"/>
      <w:jc w:val="right"/>
      <w:outlineLvl w:val="1"/>
    </w:pPr>
    <w:rPr>
      <w:rFonts w:ascii="Times New Roman" w:eastAsia="Times New Roman" w:hAnsi="Times New Roman" w:cs="Times New Roman"/>
      <w:color w:val="181717"/>
      <w:sz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7F7"/>
    <w:pPr>
      <w:ind w:left="720"/>
      <w:contextualSpacing/>
    </w:pPr>
  </w:style>
  <w:style w:type="paragraph" w:customStyle="1" w:styleId="head">
    <w:name w:val="head"/>
    <w:basedOn w:val="Normal"/>
    <w:rsid w:val="00AE3D5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rmalWeb">
    <w:name w:val="Normal (Web)"/>
    <w:basedOn w:val="Normal"/>
    <w:uiPriority w:val="99"/>
    <w:semiHidden/>
    <w:unhideWhenUsed/>
    <w:rsid w:val="00651F6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0641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158"/>
  </w:style>
  <w:style w:type="paragraph" w:styleId="Footer">
    <w:name w:val="footer"/>
    <w:basedOn w:val="Normal"/>
    <w:link w:val="FooterChar"/>
    <w:uiPriority w:val="99"/>
    <w:unhideWhenUsed/>
    <w:rsid w:val="000641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158"/>
  </w:style>
  <w:style w:type="character" w:styleId="Hyperlink">
    <w:name w:val="Hyperlink"/>
    <w:basedOn w:val="DefaultParagraphFont"/>
    <w:uiPriority w:val="99"/>
    <w:unhideWhenUsed/>
    <w:rsid w:val="00AF7560"/>
    <w:rPr>
      <w:color w:val="0000FF"/>
      <w:u w:val="single"/>
    </w:rPr>
  </w:style>
  <w:style w:type="paragraph" w:styleId="BalloonText">
    <w:name w:val="Balloon Text"/>
    <w:basedOn w:val="Normal"/>
    <w:link w:val="BalloonTextChar"/>
    <w:uiPriority w:val="99"/>
    <w:semiHidden/>
    <w:unhideWhenUsed/>
    <w:rsid w:val="004136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694"/>
    <w:rPr>
      <w:rFonts w:ascii="Segoe UI" w:hAnsi="Segoe UI" w:cs="Segoe UI"/>
      <w:sz w:val="18"/>
      <w:szCs w:val="18"/>
    </w:rPr>
  </w:style>
  <w:style w:type="character" w:styleId="UnresolvedMention">
    <w:name w:val="Unresolved Mention"/>
    <w:basedOn w:val="DefaultParagraphFont"/>
    <w:uiPriority w:val="99"/>
    <w:semiHidden/>
    <w:unhideWhenUsed/>
    <w:rsid w:val="00314531"/>
    <w:rPr>
      <w:color w:val="605E5C"/>
      <w:shd w:val="clear" w:color="auto" w:fill="E1DFDD"/>
    </w:rPr>
  </w:style>
  <w:style w:type="table" w:styleId="TableGrid">
    <w:name w:val="Table Grid"/>
    <w:basedOn w:val="TableNormal"/>
    <w:uiPriority w:val="39"/>
    <w:rsid w:val="00994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40832"/>
    <w:rPr>
      <w:rFonts w:ascii="Times New Roman" w:eastAsia="Times New Roman" w:hAnsi="Times New Roman" w:cs="Times New Roman"/>
      <w:color w:val="181717"/>
      <w:sz w:val="24"/>
      <w:lang w:eastAsia="en-IN"/>
    </w:rPr>
  </w:style>
  <w:style w:type="character" w:customStyle="1" w:styleId="Heading2Char">
    <w:name w:val="Heading 2 Char"/>
    <w:basedOn w:val="DefaultParagraphFont"/>
    <w:link w:val="Heading2"/>
    <w:uiPriority w:val="9"/>
    <w:rsid w:val="00640832"/>
    <w:rPr>
      <w:rFonts w:ascii="Times New Roman" w:eastAsia="Times New Roman" w:hAnsi="Times New Roman" w:cs="Times New Roman"/>
      <w:color w:val="181717"/>
      <w:sz w:val="20"/>
      <w:lang w:eastAsia="en-IN"/>
    </w:rPr>
  </w:style>
  <w:style w:type="character" w:styleId="CommentReference">
    <w:name w:val="annotation reference"/>
    <w:basedOn w:val="DefaultParagraphFont"/>
    <w:uiPriority w:val="99"/>
    <w:semiHidden/>
    <w:unhideWhenUsed/>
    <w:rsid w:val="00C24FC1"/>
    <w:rPr>
      <w:sz w:val="16"/>
      <w:szCs w:val="16"/>
    </w:rPr>
  </w:style>
  <w:style w:type="paragraph" w:styleId="CommentText">
    <w:name w:val="annotation text"/>
    <w:basedOn w:val="Normal"/>
    <w:link w:val="CommentTextChar"/>
    <w:uiPriority w:val="99"/>
    <w:semiHidden/>
    <w:unhideWhenUsed/>
    <w:rsid w:val="00C24FC1"/>
    <w:pPr>
      <w:spacing w:line="240" w:lineRule="auto"/>
    </w:pPr>
    <w:rPr>
      <w:sz w:val="20"/>
      <w:szCs w:val="20"/>
    </w:rPr>
  </w:style>
  <w:style w:type="character" w:customStyle="1" w:styleId="CommentTextChar">
    <w:name w:val="Comment Text Char"/>
    <w:basedOn w:val="DefaultParagraphFont"/>
    <w:link w:val="CommentText"/>
    <w:uiPriority w:val="99"/>
    <w:semiHidden/>
    <w:rsid w:val="00C24FC1"/>
    <w:rPr>
      <w:sz w:val="20"/>
      <w:szCs w:val="20"/>
    </w:rPr>
  </w:style>
  <w:style w:type="paragraph" w:styleId="CommentSubject">
    <w:name w:val="annotation subject"/>
    <w:basedOn w:val="CommentText"/>
    <w:next w:val="CommentText"/>
    <w:link w:val="CommentSubjectChar"/>
    <w:uiPriority w:val="99"/>
    <w:semiHidden/>
    <w:unhideWhenUsed/>
    <w:rsid w:val="00C24FC1"/>
    <w:rPr>
      <w:b/>
      <w:bCs/>
    </w:rPr>
  </w:style>
  <w:style w:type="character" w:customStyle="1" w:styleId="CommentSubjectChar">
    <w:name w:val="Comment Subject Char"/>
    <w:basedOn w:val="CommentTextChar"/>
    <w:link w:val="CommentSubject"/>
    <w:uiPriority w:val="99"/>
    <w:semiHidden/>
    <w:rsid w:val="00C24FC1"/>
    <w:rPr>
      <w:b/>
      <w:bCs/>
      <w:sz w:val="20"/>
      <w:szCs w:val="20"/>
    </w:rPr>
  </w:style>
  <w:style w:type="table" w:customStyle="1" w:styleId="TableGrid0">
    <w:name w:val="TableGrid"/>
    <w:rsid w:val="00605FDB"/>
    <w:pPr>
      <w:spacing w:after="0" w:line="240" w:lineRule="auto"/>
    </w:pPr>
    <w:rPr>
      <w:rFonts w:eastAsiaTheme="minorEastAsia"/>
      <w:lang w:eastAsia="en-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339604">
      <w:bodyDiv w:val="1"/>
      <w:marLeft w:val="0"/>
      <w:marRight w:val="0"/>
      <w:marTop w:val="0"/>
      <w:marBottom w:val="0"/>
      <w:divBdr>
        <w:top w:val="none" w:sz="0" w:space="0" w:color="auto"/>
        <w:left w:val="none" w:sz="0" w:space="0" w:color="auto"/>
        <w:bottom w:val="none" w:sz="0" w:space="0" w:color="auto"/>
        <w:right w:val="none" w:sz="0" w:space="0" w:color="auto"/>
      </w:divBdr>
    </w:div>
    <w:div w:id="61761036">
      <w:bodyDiv w:val="1"/>
      <w:marLeft w:val="0"/>
      <w:marRight w:val="0"/>
      <w:marTop w:val="0"/>
      <w:marBottom w:val="0"/>
      <w:divBdr>
        <w:top w:val="none" w:sz="0" w:space="0" w:color="auto"/>
        <w:left w:val="none" w:sz="0" w:space="0" w:color="auto"/>
        <w:bottom w:val="none" w:sz="0" w:space="0" w:color="auto"/>
        <w:right w:val="none" w:sz="0" w:space="0" w:color="auto"/>
      </w:divBdr>
    </w:div>
    <w:div w:id="68039969">
      <w:bodyDiv w:val="1"/>
      <w:marLeft w:val="0"/>
      <w:marRight w:val="0"/>
      <w:marTop w:val="0"/>
      <w:marBottom w:val="0"/>
      <w:divBdr>
        <w:top w:val="none" w:sz="0" w:space="0" w:color="auto"/>
        <w:left w:val="none" w:sz="0" w:space="0" w:color="auto"/>
        <w:bottom w:val="none" w:sz="0" w:space="0" w:color="auto"/>
        <w:right w:val="none" w:sz="0" w:space="0" w:color="auto"/>
      </w:divBdr>
    </w:div>
    <w:div w:id="71245497">
      <w:bodyDiv w:val="1"/>
      <w:marLeft w:val="0"/>
      <w:marRight w:val="0"/>
      <w:marTop w:val="0"/>
      <w:marBottom w:val="0"/>
      <w:divBdr>
        <w:top w:val="none" w:sz="0" w:space="0" w:color="auto"/>
        <w:left w:val="none" w:sz="0" w:space="0" w:color="auto"/>
        <w:bottom w:val="none" w:sz="0" w:space="0" w:color="auto"/>
        <w:right w:val="none" w:sz="0" w:space="0" w:color="auto"/>
      </w:divBdr>
    </w:div>
    <w:div w:id="84617922">
      <w:bodyDiv w:val="1"/>
      <w:marLeft w:val="0"/>
      <w:marRight w:val="0"/>
      <w:marTop w:val="0"/>
      <w:marBottom w:val="0"/>
      <w:divBdr>
        <w:top w:val="none" w:sz="0" w:space="0" w:color="auto"/>
        <w:left w:val="none" w:sz="0" w:space="0" w:color="auto"/>
        <w:bottom w:val="none" w:sz="0" w:space="0" w:color="auto"/>
        <w:right w:val="none" w:sz="0" w:space="0" w:color="auto"/>
      </w:divBdr>
    </w:div>
    <w:div w:id="103234368">
      <w:bodyDiv w:val="1"/>
      <w:marLeft w:val="0"/>
      <w:marRight w:val="0"/>
      <w:marTop w:val="0"/>
      <w:marBottom w:val="0"/>
      <w:divBdr>
        <w:top w:val="none" w:sz="0" w:space="0" w:color="auto"/>
        <w:left w:val="none" w:sz="0" w:space="0" w:color="auto"/>
        <w:bottom w:val="none" w:sz="0" w:space="0" w:color="auto"/>
        <w:right w:val="none" w:sz="0" w:space="0" w:color="auto"/>
      </w:divBdr>
    </w:div>
    <w:div w:id="126163243">
      <w:bodyDiv w:val="1"/>
      <w:marLeft w:val="0"/>
      <w:marRight w:val="0"/>
      <w:marTop w:val="0"/>
      <w:marBottom w:val="0"/>
      <w:divBdr>
        <w:top w:val="none" w:sz="0" w:space="0" w:color="auto"/>
        <w:left w:val="none" w:sz="0" w:space="0" w:color="auto"/>
        <w:bottom w:val="none" w:sz="0" w:space="0" w:color="auto"/>
        <w:right w:val="none" w:sz="0" w:space="0" w:color="auto"/>
      </w:divBdr>
    </w:div>
    <w:div w:id="163514550">
      <w:bodyDiv w:val="1"/>
      <w:marLeft w:val="0"/>
      <w:marRight w:val="0"/>
      <w:marTop w:val="0"/>
      <w:marBottom w:val="0"/>
      <w:divBdr>
        <w:top w:val="none" w:sz="0" w:space="0" w:color="auto"/>
        <w:left w:val="none" w:sz="0" w:space="0" w:color="auto"/>
        <w:bottom w:val="none" w:sz="0" w:space="0" w:color="auto"/>
        <w:right w:val="none" w:sz="0" w:space="0" w:color="auto"/>
      </w:divBdr>
    </w:div>
    <w:div w:id="185143015">
      <w:bodyDiv w:val="1"/>
      <w:marLeft w:val="0"/>
      <w:marRight w:val="0"/>
      <w:marTop w:val="0"/>
      <w:marBottom w:val="0"/>
      <w:divBdr>
        <w:top w:val="none" w:sz="0" w:space="0" w:color="auto"/>
        <w:left w:val="none" w:sz="0" w:space="0" w:color="auto"/>
        <w:bottom w:val="none" w:sz="0" w:space="0" w:color="auto"/>
        <w:right w:val="none" w:sz="0" w:space="0" w:color="auto"/>
      </w:divBdr>
    </w:div>
    <w:div w:id="192228954">
      <w:bodyDiv w:val="1"/>
      <w:marLeft w:val="0"/>
      <w:marRight w:val="0"/>
      <w:marTop w:val="0"/>
      <w:marBottom w:val="0"/>
      <w:divBdr>
        <w:top w:val="none" w:sz="0" w:space="0" w:color="auto"/>
        <w:left w:val="none" w:sz="0" w:space="0" w:color="auto"/>
        <w:bottom w:val="none" w:sz="0" w:space="0" w:color="auto"/>
        <w:right w:val="none" w:sz="0" w:space="0" w:color="auto"/>
      </w:divBdr>
    </w:div>
    <w:div w:id="200628142">
      <w:bodyDiv w:val="1"/>
      <w:marLeft w:val="0"/>
      <w:marRight w:val="0"/>
      <w:marTop w:val="0"/>
      <w:marBottom w:val="0"/>
      <w:divBdr>
        <w:top w:val="none" w:sz="0" w:space="0" w:color="auto"/>
        <w:left w:val="none" w:sz="0" w:space="0" w:color="auto"/>
        <w:bottom w:val="none" w:sz="0" w:space="0" w:color="auto"/>
        <w:right w:val="none" w:sz="0" w:space="0" w:color="auto"/>
      </w:divBdr>
    </w:div>
    <w:div w:id="201602184">
      <w:bodyDiv w:val="1"/>
      <w:marLeft w:val="0"/>
      <w:marRight w:val="0"/>
      <w:marTop w:val="0"/>
      <w:marBottom w:val="0"/>
      <w:divBdr>
        <w:top w:val="none" w:sz="0" w:space="0" w:color="auto"/>
        <w:left w:val="none" w:sz="0" w:space="0" w:color="auto"/>
        <w:bottom w:val="none" w:sz="0" w:space="0" w:color="auto"/>
        <w:right w:val="none" w:sz="0" w:space="0" w:color="auto"/>
      </w:divBdr>
    </w:div>
    <w:div w:id="203055573">
      <w:bodyDiv w:val="1"/>
      <w:marLeft w:val="0"/>
      <w:marRight w:val="0"/>
      <w:marTop w:val="0"/>
      <w:marBottom w:val="0"/>
      <w:divBdr>
        <w:top w:val="none" w:sz="0" w:space="0" w:color="auto"/>
        <w:left w:val="none" w:sz="0" w:space="0" w:color="auto"/>
        <w:bottom w:val="none" w:sz="0" w:space="0" w:color="auto"/>
        <w:right w:val="none" w:sz="0" w:space="0" w:color="auto"/>
      </w:divBdr>
    </w:div>
    <w:div w:id="204220457">
      <w:bodyDiv w:val="1"/>
      <w:marLeft w:val="0"/>
      <w:marRight w:val="0"/>
      <w:marTop w:val="0"/>
      <w:marBottom w:val="0"/>
      <w:divBdr>
        <w:top w:val="none" w:sz="0" w:space="0" w:color="auto"/>
        <w:left w:val="none" w:sz="0" w:space="0" w:color="auto"/>
        <w:bottom w:val="none" w:sz="0" w:space="0" w:color="auto"/>
        <w:right w:val="none" w:sz="0" w:space="0" w:color="auto"/>
      </w:divBdr>
    </w:div>
    <w:div w:id="230777700">
      <w:bodyDiv w:val="1"/>
      <w:marLeft w:val="0"/>
      <w:marRight w:val="0"/>
      <w:marTop w:val="0"/>
      <w:marBottom w:val="0"/>
      <w:divBdr>
        <w:top w:val="none" w:sz="0" w:space="0" w:color="auto"/>
        <w:left w:val="none" w:sz="0" w:space="0" w:color="auto"/>
        <w:bottom w:val="none" w:sz="0" w:space="0" w:color="auto"/>
        <w:right w:val="none" w:sz="0" w:space="0" w:color="auto"/>
      </w:divBdr>
    </w:div>
    <w:div w:id="239948468">
      <w:bodyDiv w:val="1"/>
      <w:marLeft w:val="0"/>
      <w:marRight w:val="0"/>
      <w:marTop w:val="0"/>
      <w:marBottom w:val="0"/>
      <w:divBdr>
        <w:top w:val="none" w:sz="0" w:space="0" w:color="auto"/>
        <w:left w:val="none" w:sz="0" w:space="0" w:color="auto"/>
        <w:bottom w:val="none" w:sz="0" w:space="0" w:color="auto"/>
        <w:right w:val="none" w:sz="0" w:space="0" w:color="auto"/>
      </w:divBdr>
    </w:div>
    <w:div w:id="272128842">
      <w:bodyDiv w:val="1"/>
      <w:marLeft w:val="0"/>
      <w:marRight w:val="0"/>
      <w:marTop w:val="0"/>
      <w:marBottom w:val="0"/>
      <w:divBdr>
        <w:top w:val="none" w:sz="0" w:space="0" w:color="auto"/>
        <w:left w:val="none" w:sz="0" w:space="0" w:color="auto"/>
        <w:bottom w:val="none" w:sz="0" w:space="0" w:color="auto"/>
        <w:right w:val="none" w:sz="0" w:space="0" w:color="auto"/>
      </w:divBdr>
    </w:div>
    <w:div w:id="293146012">
      <w:bodyDiv w:val="1"/>
      <w:marLeft w:val="0"/>
      <w:marRight w:val="0"/>
      <w:marTop w:val="0"/>
      <w:marBottom w:val="0"/>
      <w:divBdr>
        <w:top w:val="none" w:sz="0" w:space="0" w:color="auto"/>
        <w:left w:val="none" w:sz="0" w:space="0" w:color="auto"/>
        <w:bottom w:val="none" w:sz="0" w:space="0" w:color="auto"/>
        <w:right w:val="none" w:sz="0" w:space="0" w:color="auto"/>
      </w:divBdr>
    </w:div>
    <w:div w:id="295306000">
      <w:bodyDiv w:val="1"/>
      <w:marLeft w:val="0"/>
      <w:marRight w:val="0"/>
      <w:marTop w:val="0"/>
      <w:marBottom w:val="0"/>
      <w:divBdr>
        <w:top w:val="none" w:sz="0" w:space="0" w:color="auto"/>
        <w:left w:val="none" w:sz="0" w:space="0" w:color="auto"/>
        <w:bottom w:val="none" w:sz="0" w:space="0" w:color="auto"/>
        <w:right w:val="none" w:sz="0" w:space="0" w:color="auto"/>
      </w:divBdr>
    </w:div>
    <w:div w:id="345979924">
      <w:bodyDiv w:val="1"/>
      <w:marLeft w:val="0"/>
      <w:marRight w:val="0"/>
      <w:marTop w:val="0"/>
      <w:marBottom w:val="0"/>
      <w:divBdr>
        <w:top w:val="none" w:sz="0" w:space="0" w:color="auto"/>
        <w:left w:val="none" w:sz="0" w:space="0" w:color="auto"/>
        <w:bottom w:val="none" w:sz="0" w:space="0" w:color="auto"/>
        <w:right w:val="none" w:sz="0" w:space="0" w:color="auto"/>
      </w:divBdr>
    </w:div>
    <w:div w:id="349912014">
      <w:bodyDiv w:val="1"/>
      <w:marLeft w:val="0"/>
      <w:marRight w:val="0"/>
      <w:marTop w:val="0"/>
      <w:marBottom w:val="0"/>
      <w:divBdr>
        <w:top w:val="none" w:sz="0" w:space="0" w:color="auto"/>
        <w:left w:val="none" w:sz="0" w:space="0" w:color="auto"/>
        <w:bottom w:val="none" w:sz="0" w:space="0" w:color="auto"/>
        <w:right w:val="none" w:sz="0" w:space="0" w:color="auto"/>
      </w:divBdr>
    </w:div>
    <w:div w:id="361785949">
      <w:bodyDiv w:val="1"/>
      <w:marLeft w:val="0"/>
      <w:marRight w:val="0"/>
      <w:marTop w:val="0"/>
      <w:marBottom w:val="0"/>
      <w:divBdr>
        <w:top w:val="none" w:sz="0" w:space="0" w:color="auto"/>
        <w:left w:val="none" w:sz="0" w:space="0" w:color="auto"/>
        <w:bottom w:val="none" w:sz="0" w:space="0" w:color="auto"/>
        <w:right w:val="none" w:sz="0" w:space="0" w:color="auto"/>
      </w:divBdr>
    </w:div>
    <w:div w:id="365526921">
      <w:bodyDiv w:val="1"/>
      <w:marLeft w:val="0"/>
      <w:marRight w:val="0"/>
      <w:marTop w:val="0"/>
      <w:marBottom w:val="0"/>
      <w:divBdr>
        <w:top w:val="none" w:sz="0" w:space="0" w:color="auto"/>
        <w:left w:val="none" w:sz="0" w:space="0" w:color="auto"/>
        <w:bottom w:val="none" w:sz="0" w:space="0" w:color="auto"/>
        <w:right w:val="none" w:sz="0" w:space="0" w:color="auto"/>
      </w:divBdr>
    </w:div>
    <w:div w:id="410468967">
      <w:bodyDiv w:val="1"/>
      <w:marLeft w:val="0"/>
      <w:marRight w:val="0"/>
      <w:marTop w:val="0"/>
      <w:marBottom w:val="0"/>
      <w:divBdr>
        <w:top w:val="none" w:sz="0" w:space="0" w:color="auto"/>
        <w:left w:val="none" w:sz="0" w:space="0" w:color="auto"/>
        <w:bottom w:val="none" w:sz="0" w:space="0" w:color="auto"/>
        <w:right w:val="none" w:sz="0" w:space="0" w:color="auto"/>
      </w:divBdr>
    </w:div>
    <w:div w:id="450632737">
      <w:bodyDiv w:val="1"/>
      <w:marLeft w:val="0"/>
      <w:marRight w:val="0"/>
      <w:marTop w:val="0"/>
      <w:marBottom w:val="0"/>
      <w:divBdr>
        <w:top w:val="none" w:sz="0" w:space="0" w:color="auto"/>
        <w:left w:val="none" w:sz="0" w:space="0" w:color="auto"/>
        <w:bottom w:val="none" w:sz="0" w:space="0" w:color="auto"/>
        <w:right w:val="none" w:sz="0" w:space="0" w:color="auto"/>
      </w:divBdr>
    </w:div>
    <w:div w:id="451290501">
      <w:bodyDiv w:val="1"/>
      <w:marLeft w:val="0"/>
      <w:marRight w:val="0"/>
      <w:marTop w:val="0"/>
      <w:marBottom w:val="0"/>
      <w:divBdr>
        <w:top w:val="none" w:sz="0" w:space="0" w:color="auto"/>
        <w:left w:val="none" w:sz="0" w:space="0" w:color="auto"/>
        <w:bottom w:val="none" w:sz="0" w:space="0" w:color="auto"/>
        <w:right w:val="none" w:sz="0" w:space="0" w:color="auto"/>
      </w:divBdr>
    </w:div>
    <w:div w:id="495657690">
      <w:bodyDiv w:val="1"/>
      <w:marLeft w:val="0"/>
      <w:marRight w:val="0"/>
      <w:marTop w:val="0"/>
      <w:marBottom w:val="0"/>
      <w:divBdr>
        <w:top w:val="none" w:sz="0" w:space="0" w:color="auto"/>
        <w:left w:val="none" w:sz="0" w:space="0" w:color="auto"/>
        <w:bottom w:val="none" w:sz="0" w:space="0" w:color="auto"/>
        <w:right w:val="none" w:sz="0" w:space="0" w:color="auto"/>
      </w:divBdr>
    </w:div>
    <w:div w:id="513081572">
      <w:bodyDiv w:val="1"/>
      <w:marLeft w:val="0"/>
      <w:marRight w:val="0"/>
      <w:marTop w:val="0"/>
      <w:marBottom w:val="0"/>
      <w:divBdr>
        <w:top w:val="none" w:sz="0" w:space="0" w:color="auto"/>
        <w:left w:val="none" w:sz="0" w:space="0" w:color="auto"/>
        <w:bottom w:val="none" w:sz="0" w:space="0" w:color="auto"/>
        <w:right w:val="none" w:sz="0" w:space="0" w:color="auto"/>
      </w:divBdr>
    </w:div>
    <w:div w:id="592665222">
      <w:bodyDiv w:val="1"/>
      <w:marLeft w:val="0"/>
      <w:marRight w:val="0"/>
      <w:marTop w:val="0"/>
      <w:marBottom w:val="0"/>
      <w:divBdr>
        <w:top w:val="none" w:sz="0" w:space="0" w:color="auto"/>
        <w:left w:val="none" w:sz="0" w:space="0" w:color="auto"/>
        <w:bottom w:val="none" w:sz="0" w:space="0" w:color="auto"/>
        <w:right w:val="none" w:sz="0" w:space="0" w:color="auto"/>
      </w:divBdr>
    </w:div>
    <w:div w:id="612059459">
      <w:bodyDiv w:val="1"/>
      <w:marLeft w:val="0"/>
      <w:marRight w:val="0"/>
      <w:marTop w:val="0"/>
      <w:marBottom w:val="0"/>
      <w:divBdr>
        <w:top w:val="none" w:sz="0" w:space="0" w:color="auto"/>
        <w:left w:val="none" w:sz="0" w:space="0" w:color="auto"/>
        <w:bottom w:val="none" w:sz="0" w:space="0" w:color="auto"/>
        <w:right w:val="none" w:sz="0" w:space="0" w:color="auto"/>
      </w:divBdr>
    </w:div>
    <w:div w:id="624459434">
      <w:bodyDiv w:val="1"/>
      <w:marLeft w:val="0"/>
      <w:marRight w:val="0"/>
      <w:marTop w:val="0"/>
      <w:marBottom w:val="0"/>
      <w:divBdr>
        <w:top w:val="none" w:sz="0" w:space="0" w:color="auto"/>
        <w:left w:val="none" w:sz="0" w:space="0" w:color="auto"/>
        <w:bottom w:val="none" w:sz="0" w:space="0" w:color="auto"/>
        <w:right w:val="none" w:sz="0" w:space="0" w:color="auto"/>
      </w:divBdr>
    </w:div>
    <w:div w:id="631524319">
      <w:bodyDiv w:val="1"/>
      <w:marLeft w:val="0"/>
      <w:marRight w:val="0"/>
      <w:marTop w:val="0"/>
      <w:marBottom w:val="0"/>
      <w:divBdr>
        <w:top w:val="none" w:sz="0" w:space="0" w:color="auto"/>
        <w:left w:val="none" w:sz="0" w:space="0" w:color="auto"/>
        <w:bottom w:val="none" w:sz="0" w:space="0" w:color="auto"/>
        <w:right w:val="none" w:sz="0" w:space="0" w:color="auto"/>
      </w:divBdr>
    </w:div>
    <w:div w:id="649557934">
      <w:bodyDiv w:val="1"/>
      <w:marLeft w:val="0"/>
      <w:marRight w:val="0"/>
      <w:marTop w:val="0"/>
      <w:marBottom w:val="0"/>
      <w:divBdr>
        <w:top w:val="none" w:sz="0" w:space="0" w:color="auto"/>
        <w:left w:val="none" w:sz="0" w:space="0" w:color="auto"/>
        <w:bottom w:val="none" w:sz="0" w:space="0" w:color="auto"/>
        <w:right w:val="none" w:sz="0" w:space="0" w:color="auto"/>
      </w:divBdr>
    </w:div>
    <w:div w:id="685638225">
      <w:bodyDiv w:val="1"/>
      <w:marLeft w:val="0"/>
      <w:marRight w:val="0"/>
      <w:marTop w:val="0"/>
      <w:marBottom w:val="0"/>
      <w:divBdr>
        <w:top w:val="none" w:sz="0" w:space="0" w:color="auto"/>
        <w:left w:val="none" w:sz="0" w:space="0" w:color="auto"/>
        <w:bottom w:val="none" w:sz="0" w:space="0" w:color="auto"/>
        <w:right w:val="none" w:sz="0" w:space="0" w:color="auto"/>
      </w:divBdr>
    </w:div>
    <w:div w:id="693658067">
      <w:bodyDiv w:val="1"/>
      <w:marLeft w:val="0"/>
      <w:marRight w:val="0"/>
      <w:marTop w:val="0"/>
      <w:marBottom w:val="0"/>
      <w:divBdr>
        <w:top w:val="none" w:sz="0" w:space="0" w:color="auto"/>
        <w:left w:val="none" w:sz="0" w:space="0" w:color="auto"/>
        <w:bottom w:val="none" w:sz="0" w:space="0" w:color="auto"/>
        <w:right w:val="none" w:sz="0" w:space="0" w:color="auto"/>
      </w:divBdr>
    </w:div>
    <w:div w:id="697698589">
      <w:bodyDiv w:val="1"/>
      <w:marLeft w:val="0"/>
      <w:marRight w:val="0"/>
      <w:marTop w:val="0"/>
      <w:marBottom w:val="0"/>
      <w:divBdr>
        <w:top w:val="none" w:sz="0" w:space="0" w:color="auto"/>
        <w:left w:val="none" w:sz="0" w:space="0" w:color="auto"/>
        <w:bottom w:val="none" w:sz="0" w:space="0" w:color="auto"/>
        <w:right w:val="none" w:sz="0" w:space="0" w:color="auto"/>
      </w:divBdr>
    </w:div>
    <w:div w:id="723718236">
      <w:bodyDiv w:val="1"/>
      <w:marLeft w:val="0"/>
      <w:marRight w:val="0"/>
      <w:marTop w:val="0"/>
      <w:marBottom w:val="0"/>
      <w:divBdr>
        <w:top w:val="none" w:sz="0" w:space="0" w:color="auto"/>
        <w:left w:val="none" w:sz="0" w:space="0" w:color="auto"/>
        <w:bottom w:val="none" w:sz="0" w:space="0" w:color="auto"/>
        <w:right w:val="none" w:sz="0" w:space="0" w:color="auto"/>
      </w:divBdr>
    </w:div>
    <w:div w:id="755054616">
      <w:bodyDiv w:val="1"/>
      <w:marLeft w:val="0"/>
      <w:marRight w:val="0"/>
      <w:marTop w:val="0"/>
      <w:marBottom w:val="0"/>
      <w:divBdr>
        <w:top w:val="none" w:sz="0" w:space="0" w:color="auto"/>
        <w:left w:val="none" w:sz="0" w:space="0" w:color="auto"/>
        <w:bottom w:val="none" w:sz="0" w:space="0" w:color="auto"/>
        <w:right w:val="none" w:sz="0" w:space="0" w:color="auto"/>
      </w:divBdr>
    </w:div>
    <w:div w:id="761608470">
      <w:bodyDiv w:val="1"/>
      <w:marLeft w:val="0"/>
      <w:marRight w:val="0"/>
      <w:marTop w:val="0"/>
      <w:marBottom w:val="0"/>
      <w:divBdr>
        <w:top w:val="none" w:sz="0" w:space="0" w:color="auto"/>
        <w:left w:val="none" w:sz="0" w:space="0" w:color="auto"/>
        <w:bottom w:val="none" w:sz="0" w:space="0" w:color="auto"/>
        <w:right w:val="none" w:sz="0" w:space="0" w:color="auto"/>
      </w:divBdr>
    </w:div>
    <w:div w:id="768813363">
      <w:bodyDiv w:val="1"/>
      <w:marLeft w:val="0"/>
      <w:marRight w:val="0"/>
      <w:marTop w:val="0"/>
      <w:marBottom w:val="0"/>
      <w:divBdr>
        <w:top w:val="none" w:sz="0" w:space="0" w:color="auto"/>
        <w:left w:val="none" w:sz="0" w:space="0" w:color="auto"/>
        <w:bottom w:val="none" w:sz="0" w:space="0" w:color="auto"/>
        <w:right w:val="none" w:sz="0" w:space="0" w:color="auto"/>
      </w:divBdr>
    </w:div>
    <w:div w:id="813791302">
      <w:bodyDiv w:val="1"/>
      <w:marLeft w:val="0"/>
      <w:marRight w:val="0"/>
      <w:marTop w:val="0"/>
      <w:marBottom w:val="0"/>
      <w:divBdr>
        <w:top w:val="none" w:sz="0" w:space="0" w:color="auto"/>
        <w:left w:val="none" w:sz="0" w:space="0" w:color="auto"/>
        <w:bottom w:val="none" w:sz="0" w:space="0" w:color="auto"/>
        <w:right w:val="none" w:sz="0" w:space="0" w:color="auto"/>
      </w:divBdr>
    </w:div>
    <w:div w:id="825783238">
      <w:bodyDiv w:val="1"/>
      <w:marLeft w:val="0"/>
      <w:marRight w:val="0"/>
      <w:marTop w:val="0"/>
      <w:marBottom w:val="0"/>
      <w:divBdr>
        <w:top w:val="none" w:sz="0" w:space="0" w:color="auto"/>
        <w:left w:val="none" w:sz="0" w:space="0" w:color="auto"/>
        <w:bottom w:val="none" w:sz="0" w:space="0" w:color="auto"/>
        <w:right w:val="none" w:sz="0" w:space="0" w:color="auto"/>
      </w:divBdr>
    </w:div>
    <w:div w:id="870846797">
      <w:bodyDiv w:val="1"/>
      <w:marLeft w:val="0"/>
      <w:marRight w:val="0"/>
      <w:marTop w:val="0"/>
      <w:marBottom w:val="0"/>
      <w:divBdr>
        <w:top w:val="none" w:sz="0" w:space="0" w:color="auto"/>
        <w:left w:val="none" w:sz="0" w:space="0" w:color="auto"/>
        <w:bottom w:val="none" w:sz="0" w:space="0" w:color="auto"/>
        <w:right w:val="none" w:sz="0" w:space="0" w:color="auto"/>
      </w:divBdr>
    </w:div>
    <w:div w:id="878125241">
      <w:bodyDiv w:val="1"/>
      <w:marLeft w:val="0"/>
      <w:marRight w:val="0"/>
      <w:marTop w:val="0"/>
      <w:marBottom w:val="0"/>
      <w:divBdr>
        <w:top w:val="none" w:sz="0" w:space="0" w:color="auto"/>
        <w:left w:val="none" w:sz="0" w:space="0" w:color="auto"/>
        <w:bottom w:val="none" w:sz="0" w:space="0" w:color="auto"/>
        <w:right w:val="none" w:sz="0" w:space="0" w:color="auto"/>
      </w:divBdr>
    </w:div>
    <w:div w:id="890269774">
      <w:bodyDiv w:val="1"/>
      <w:marLeft w:val="0"/>
      <w:marRight w:val="0"/>
      <w:marTop w:val="0"/>
      <w:marBottom w:val="0"/>
      <w:divBdr>
        <w:top w:val="none" w:sz="0" w:space="0" w:color="auto"/>
        <w:left w:val="none" w:sz="0" w:space="0" w:color="auto"/>
        <w:bottom w:val="none" w:sz="0" w:space="0" w:color="auto"/>
        <w:right w:val="none" w:sz="0" w:space="0" w:color="auto"/>
      </w:divBdr>
    </w:div>
    <w:div w:id="900680224">
      <w:bodyDiv w:val="1"/>
      <w:marLeft w:val="0"/>
      <w:marRight w:val="0"/>
      <w:marTop w:val="0"/>
      <w:marBottom w:val="0"/>
      <w:divBdr>
        <w:top w:val="none" w:sz="0" w:space="0" w:color="auto"/>
        <w:left w:val="none" w:sz="0" w:space="0" w:color="auto"/>
        <w:bottom w:val="none" w:sz="0" w:space="0" w:color="auto"/>
        <w:right w:val="none" w:sz="0" w:space="0" w:color="auto"/>
      </w:divBdr>
    </w:div>
    <w:div w:id="903177620">
      <w:bodyDiv w:val="1"/>
      <w:marLeft w:val="0"/>
      <w:marRight w:val="0"/>
      <w:marTop w:val="0"/>
      <w:marBottom w:val="0"/>
      <w:divBdr>
        <w:top w:val="none" w:sz="0" w:space="0" w:color="auto"/>
        <w:left w:val="none" w:sz="0" w:space="0" w:color="auto"/>
        <w:bottom w:val="none" w:sz="0" w:space="0" w:color="auto"/>
        <w:right w:val="none" w:sz="0" w:space="0" w:color="auto"/>
      </w:divBdr>
    </w:div>
    <w:div w:id="912469844">
      <w:bodyDiv w:val="1"/>
      <w:marLeft w:val="0"/>
      <w:marRight w:val="0"/>
      <w:marTop w:val="0"/>
      <w:marBottom w:val="0"/>
      <w:divBdr>
        <w:top w:val="none" w:sz="0" w:space="0" w:color="auto"/>
        <w:left w:val="none" w:sz="0" w:space="0" w:color="auto"/>
        <w:bottom w:val="none" w:sz="0" w:space="0" w:color="auto"/>
        <w:right w:val="none" w:sz="0" w:space="0" w:color="auto"/>
      </w:divBdr>
    </w:div>
    <w:div w:id="924919735">
      <w:bodyDiv w:val="1"/>
      <w:marLeft w:val="0"/>
      <w:marRight w:val="0"/>
      <w:marTop w:val="0"/>
      <w:marBottom w:val="0"/>
      <w:divBdr>
        <w:top w:val="none" w:sz="0" w:space="0" w:color="auto"/>
        <w:left w:val="none" w:sz="0" w:space="0" w:color="auto"/>
        <w:bottom w:val="none" w:sz="0" w:space="0" w:color="auto"/>
        <w:right w:val="none" w:sz="0" w:space="0" w:color="auto"/>
      </w:divBdr>
    </w:div>
    <w:div w:id="933585641">
      <w:bodyDiv w:val="1"/>
      <w:marLeft w:val="0"/>
      <w:marRight w:val="0"/>
      <w:marTop w:val="0"/>
      <w:marBottom w:val="0"/>
      <w:divBdr>
        <w:top w:val="none" w:sz="0" w:space="0" w:color="auto"/>
        <w:left w:val="none" w:sz="0" w:space="0" w:color="auto"/>
        <w:bottom w:val="none" w:sz="0" w:space="0" w:color="auto"/>
        <w:right w:val="none" w:sz="0" w:space="0" w:color="auto"/>
      </w:divBdr>
    </w:div>
    <w:div w:id="936712523">
      <w:bodyDiv w:val="1"/>
      <w:marLeft w:val="0"/>
      <w:marRight w:val="0"/>
      <w:marTop w:val="0"/>
      <w:marBottom w:val="0"/>
      <w:divBdr>
        <w:top w:val="none" w:sz="0" w:space="0" w:color="auto"/>
        <w:left w:val="none" w:sz="0" w:space="0" w:color="auto"/>
        <w:bottom w:val="none" w:sz="0" w:space="0" w:color="auto"/>
        <w:right w:val="none" w:sz="0" w:space="0" w:color="auto"/>
      </w:divBdr>
    </w:div>
    <w:div w:id="945431388">
      <w:bodyDiv w:val="1"/>
      <w:marLeft w:val="0"/>
      <w:marRight w:val="0"/>
      <w:marTop w:val="0"/>
      <w:marBottom w:val="0"/>
      <w:divBdr>
        <w:top w:val="none" w:sz="0" w:space="0" w:color="auto"/>
        <w:left w:val="none" w:sz="0" w:space="0" w:color="auto"/>
        <w:bottom w:val="none" w:sz="0" w:space="0" w:color="auto"/>
        <w:right w:val="none" w:sz="0" w:space="0" w:color="auto"/>
      </w:divBdr>
    </w:div>
    <w:div w:id="964116300">
      <w:bodyDiv w:val="1"/>
      <w:marLeft w:val="0"/>
      <w:marRight w:val="0"/>
      <w:marTop w:val="0"/>
      <w:marBottom w:val="0"/>
      <w:divBdr>
        <w:top w:val="none" w:sz="0" w:space="0" w:color="auto"/>
        <w:left w:val="none" w:sz="0" w:space="0" w:color="auto"/>
        <w:bottom w:val="none" w:sz="0" w:space="0" w:color="auto"/>
        <w:right w:val="none" w:sz="0" w:space="0" w:color="auto"/>
      </w:divBdr>
    </w:div>
    <w:div w:id="975330319">
      <w:bodyDiv w:val="1"/>
      <w:marLeft w:val="0"/>
      <w:marRight w:val="0"/>
      <w:marTop w:val="0"/>
      <w:marBottom w:val="0"/>
      <w:divBdr>
        <w:top w:val="none" w:sz="0" w:space="0" w:color="auto"/>
        <w:left w:val="none" w:sz="0" w:space="0" w:color="auto"/>
        <w:bottom w:val="none" w:sz="0" w:space="0" w:color="auto"/>
        <w:right w:val="none" w:sz="0" w:space="0" w:color="auto"/>
      </w:divBdr>
    </w:div>
    <w:div w:id="996225198">
      <w:bodyDiv w:val="1"/>
      <w:marLeft w:val="0"/>
      <w:marRight w:val="0"/>
      <w:marTop w:val="0"/>
      <w:marBottom w:val="0"/>
      <w:divBdr>
        <w:top w:val="none" w:sz="0" w:space="0" w:color="auto"/>
        <w:left w:val="none" w:sz="0" w:space="0" w:color="auto"/>
        <w:bottom w:val="none" w:sz="0" w:space="0" w:color="auto"/>
        <w:right w:val="none" w:sz="0" w:space="0" w:color="auto"/>
      </w:divBdr>
    </w:div>
    <w:div w:id="1028215555">
      <w:bodyDiv w:val="1"/>
      <w:marLeft w:val="0"/>
      <w:marRight w:val="0"/>
      <w:marTop w:val="0"/>
      <w:marBottom w:val="0"/>
      <w:divBdr>
        <w:top w:val="none" w:sz="0" w:space="0" w:color="auto"/>
        <w:left w:val="none" w:sz="0" w:space="0" w:color="auto"/>
        <w:bottom w:val="none" w:sz="0" w:space="0" w:color="auto"/>
        <w:right w:val="none" w:sz="0" w:space="0" w:color="auto"/>
      </w:divBdr>
    </w:div>
    <w:div w:id="1101338531">
      <w:bodyDiv w:val="1"/>
      <w:marLeft w:val="0"/>
      <w:marRight w:val="0"/>
      <w:marTop w:val="0"/>
      <w:marBottom w:val="0"/>
      <w:divBdr>
        <w:top w:val="none" w:sz="0" w:space="0" w:color="auto"/>
        <w:left w:val="none" w:sz="0" w:space="0" w:color="auto"/>
        <w:bottom w:val="none" w:sz="0" w:space="0" w:color="auto"/>
        <w:right w:val="none" w:sz="0" w:space="0" w:color="auto"/>
      </w:divBdr>
    </w:div>
    <w:div w:id="1143543275">
      <w:bodyDiv w:val="1"/>
      <w:marLeft w:val="0"/>
      <w:marRight w:val="0"/>
      <w:marTop w:val="0"/>
      <w:marBottom w:val="0"/>
      <w:divBdr>
        <w:top w:val="none" w:sz="0" w:space="0" w:color="auto"/>
        <w:left w:val="none" w:sz="0" w:space="0" w:color="auto"/>
        <w:bottom w:val="none" w:sz="0" w:space="0" w:color="auto"/>
        <w:right w:val="none" w:sz="0" w:space="0" w:color="auto"/>
      </w:divBdr>
    </w:div>
    <w:div w:id="1144617042">
      <w:bodyDiv w:val="1"/>
      <w:marLeft w:val="0"/>
      <w:marRight w:val="0"/>
      <w:marTop w:val="0"/>
      <w:marBottom w:val="0"/>
      <w:divBdr>
        <w:top w:val="none" w:sz="0" w:space="0" w:color="auto"/>
        <w:left w:val="none" w:sz="0" w:space="0" w:color="auto"/>
        <w:bottom w:val="none" w:sz="0" w:space="0" w:color="auto"/>
        <w:right w:val="none" w:sz="0" w:space="0" w:color="auto"/>
      </w:divBdr>
    </w:div>
    <w:div w:id="1153833405">
      <w:bodyDiv w:val="1"/>
      <w:marLeft w:val="0"/>
      <w:marRight w:val="0"/>
      <w:marTop w:val="0"/>
      <w:marBottom w:val="0"/>
      <w:divBdr>
        <w:top w:val="none" w:sz="0" w:space="0" w:color="auto"/>
        <w:left w:val="none" w:sz="0" w:space="0" w:color="auto"/>
        <w:bottom w:val="none" w:sz="0" w:space="0" w:color="auto"/>
        <w:right w:val="none" w:sz="0" w:space="0" w:color="auto"/>
      </w:divBdr>
    </w:div>
    <w:div w:id="1162045798">
      <w:bodyDiv w:val="1"/>
      <w:marLeft w:val="0"/>
      <w:marRight w:val="0"/>
      <w:marTop w:val="0"/>
      <w:marBottom w:val="0"/>
      <w:divBdr>
        <w:top w:val="none" w:sz="0" w:space="0" w:color="auto"/>
        <w:left w:val="none" w:sz="0" w:space="0" w:color="auto"/>
        <w:bottom w:val="none" w:sz="0" w:space="0" w:color="auto"/>
        <w:right w:val="none" w:sz="0" w:space="0" w:color="auto"/>
      </w:divBdr>
    </w:div>
    <w:div w:id="1219972867">
      <w:bodyDiv w:val="1"/>
      <w:marLeft w:val="0"/>
      <w:marRight w:val="0"/>
      <w:marTop w:val="0"/>
      <w:marBottom w:val="0"/>
      <w:divBdr>
        <w:top w:val="none" w:sz="0" w:space="0" w:color="auto"/>
        <w:left w:val="none" w:sz="0" w:space="0" w:color="auto"/>
        <w:bottom w:val="none" w:sz="0" w:space="0" w:color="auto"/>
        <w:right w:val="none" w:sz="0" w:space="0" w:color="auto"/>
      </w:divBdr>
    </w:div>
    <w:div w:id="1223907075">
      <w:bodyDiv w:val="1"/>
      <w:marLeft w:val="0"/>
      <w:marRight w:val="0"/>
      <w:marTop w:val="0"/>
      <w:marBottom w:val="0"/>
      <w:divBdr>
        <w:top w:val="none" w:sz="0" w:space="0" w:color="auto"/>
        <w:left w:val="none" w:sz="0" w:space="0" w:color="auto"/>
        <w:bottom w:val="none" w:sz="0" w:space="0" w:color="auto"/>
        <w:right w:val="none" w:sz="0" w:space="0" w:color="auto"/>
      </w:divBdr>
    </w:div>
    <w:div w:id="1245603020">
      <w:bodyDiv w:val="1"/>
      <w:marLeft w:val="0"/>
      <w:marRight w:val="0"/>
      <w:marTop w:val="0"/>
      <w:marBottom w:val="0"/>
      <w:divBdr>
        <w:top w:val="none" w:sz="0" w:space="0" w:color="auto"/>
        <w:left w:val="none" w:sz="0" w:space="0" w:color="auto"/>
        <w:bottom w:val="none" w:sz="0" w:space="0" w:color="auto"/>
        <w:right w:val="none" w:sz="0" w:space="0" w:color="auto"/>
      </w:divBdr>
    </w:div>
    <w:div w:id="1300114904">
      <w:bodyDiv w:val="1"/>
      <w:marLeft w:val="0"/>
      <w:marRight w:val="0"/>
      <w:marTop w:val="0"/>
      <w:marBottom w:val="0"/>
      <w:divBdr>
        <w:top w:val="none" w:sz="0" w:space="0" w:color="auto"/>
        <w:left w:val="none" w:sz="0" w:space="0" w:color="auto"/>
        <w:bottom w:val="none" w:sz="0" w:space="0" w:color="auto"/>
        <w:right w:val="none" w:sz="0" w:space="0" w:color="auto"/>
      </w:divBdr>
    </w:div>
    <w:div w:id="1307052784">
      <w:bodyDiv w:val="1"/>
      <w:marLeft w:val="0"/>
      <w:marRight w:val="0"/>
      <w:marTop w:val="0"/>
      <w:marBottom w:val="0"/>
      <w:divBdr>
        <w:top w:val="none" w:sz="0" w:space="0" w:color="auto"/>
        <w:left w:val="none" w:sz="0" w:space="0" w:color="auto"/>
        <w:bottom w:val="none" w:sz="0" w:space="0" w:color="auto"/>
        <w:right w:val="none" w:sz="0" w:space="0" w:color="auto"/>
      </w:divBdr>
    </w:div>
    <w:div w:id="1308053638">
      <w:bodyDiv w:val="1"/>
      <w:marLeft w:val="0"/>
      <w:marRight w:val="0"/>
      <w:marTop w:val="0"/>
      <w:marBottom w:val="0"/>
      <w:divBdr>
        <w:top w:val="none" w:sz="0" w:space="0" w:color="auto"/>
        <w:left w:val="none" w:sz="0" w:space="0" w:color="auto"/>
        <w:bottom w:val="none" w:sz="0" w:space="0" w:color="auto"/>
        <w:right w:val="none" w:sz="0" w:space="0" w:color="auto"/>
      </w:divBdr>
      <w:divsChild>
        <w:div w:id="1041855396">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326669233">
      <w:bodyDiv w:val="1"/>
      <w:marLeft w:val="0"/>
      <w:marRight w:val="0"/>
      <w:marTop w:val="0"/>
      <w:marBottom w:val="0"/>
      <w:divBdr>
        <w:top w:val="none" w:sz="0" w:space="0" w:color="auto"/>
        <w:left w:val="none" w:sz="0" w:space="0" w:color="auto"/>
        <w:bottom w:val="none" w:sz="0" w:space="0" w:color="auto"/>
        <w:right w:val="none" w:sz="0" w:space="0" w:color="auto"/>
      </w:divBdr>
    </w:div>
    <w:div w:id="1359548164">
      <w:bodyDiv w:val="1"/>
      <w:marLeft w:val="0"/>
      <w:marRight w:val="0"/>
      <w:marTop w:val="0"/>
      <w:marBottom w:val="0"/>
      <w:divBdr>
        <w:top w:val="none" w:sz="0" w:space="0" w:color="auto"/>
        <w:left w:val="none" w:sz="0" w:space="0" w:color="auto"/>
        <w:bottom w:val="none" w:sz="0" w:space="0" w:color="auto"/>
        <w:right w:val="none" w:sz="0" w:space="0" w:color="auto"/>
      </w:divBdr>
    </w:div>
    <w:div w:id="1367756919">
      <w:bodyDiv w:val="1"/>
      <w:marLeft w:val="0"/>
      <w:marRight w:val="0"/>
      <w:marTop w:val="0"/>
      <w:marBottom w:val="0"/>
      <w:divBdr>
        <w:top w:val="none" w:sz="0" w:space="0" w:color="auto"/>
        <w:left w:val="none" w:sz="0" w:space="0" w:color="auto"/>
        <w:bottom w:val="none" w:sz="0" w:space="0" w:color="auto"/>
        <w:right w:val="none" w:sz="0" w:space="0" w:color="auto"/>
      </w:divBdr>
    </w:div>
    <w:div w:id="1390498898">
      <w:bodyDiv w:val="1"/>
      <w:marLeft w:val="0"/>
      <w:marRight w:val="0"/>
      <w:marTop w:val="0"/>
      <w:marBottom w:val="0"/>
      <w:divBdr>
        <w:top w:val="none" w:sz="0" w:space="0" w:color="auto"/>
        <w:left w:val="none" w:sz="0" w:space="0" w:color="auto"/>
        <w:bottom w:val="none" w:sz="0" w:space="0" w:color="auto"/>
        <w:right w:val="none" w:sz="0" w:space="0" w:color="auto"/>
      </w:divBdr>
    </w:div>
    <w:div w:id="1392845099">
      <w:bodyDiv w:val="1"/>
      <w:marLeft w:val="0"/>
      <w:marRight w:val="0"/>
      <w:marTop w:val="0"/>
      <w:marBottom w:val="0"/>
      <w:divBdr>
        <w:top w:val="none" w:sz="0" w:space="0" w:color="auto"/>
        <w:left w:val="none" w:sz="0" w:space="0" w:color="auto"/>
        <w:bottom w:val="none" w:sz="0" w:space="0" w:color="auto"/>
        <w:right w:val="none" w:sz="0" w:space="0" w:color="auto"/>
      </w:divBdr>
    </w:div>
    <w:div w:id="1395930215">
      <w:bodyDiv w:val="1"/>
      <w:marLeft w:val="0"/>
      <w:marRight w:val="0"/>
      <w:marTop w:val="0"/>
      <w:marBottom w:val="0"/>
      <w:divBdr>
        <w:top w:val="none" w:sz="0" w:space="0" w:color="auto"/>
        <w:left w:val="none" w:sz="0" w:space="0" w:color="auto"/>
        <w:bottom w:val="none" w:sz="0" w:space="0" w:color="auto"/>
        <w:right w:val="none" w:sz="0" w:space="0" w:color="auto"/>
      </w:divBdr>
    </w:div>
    <w:div w:id="1428235918">
      <w:bodyDiv w:val="1"/>
      <w:marLeft w:val="0"/>
      <w:marRight w:val="0"/>
      <w:marTop w:val="0"/>
      <w:marBottom w:val="0"/>
      <w:divBdr>
        <w:top w:val="none" w:sz="0" w:space="0" w:color="auto"/>
        <w:left w:val="none" w:sz="0" w:space="0" w:color="auto"/>
        <w:bottom w:val="none" w:sz="0" w:space="0" w:color="auto"/>
        <w:right w:val="none" w:sz="0" w:space="0" w:color="auto"/>
      </w:divBdr>
    </w:div>
    <w:div w:id="1485777725">
      <w:bodyDiv w:val="1"/>
      <w:marLeft w:val="0"/>
      <w:marRight w:val="0"/>
      <w:marTop w:val="0"/>
      <w:marBottom w:val="0"/>
      <w:divBdr>
        <w:top w:val="none" w:sz="0" w:space="0" w:color="auto"/>
        <w:left w:val="none" w:sz="0" w:space="0" w:color="auto"/>
        <w:bottom w:val="none" w:sz="0" w:space="0" w:color="auto"/>
        <w:right w:val="none" w:sz="0" w:space="0" w:color="auto"/>
      </w:divBdr>
    </w:div>
    <w:div w:id="1527792850">
      <w:bodyDiv w:val="1"/>
      <w:marLeft w:val="0"/>
      <w:marRight w:val="0"/>
      <w:marTop w:val="0"/>
      <w:marBottom w:val="0"/>
      <w:divBdr>
        <w:top w:val="none" w:sz="0" w:space="0" w:color="auto"/>
        <w:left w:val="none" w:sz="0" w:space="0" w:color="auto"/>
        <w:bottom w:val="none" w:sz="0" w:space="0" w:color="auto"/>
        <w:right w:val="none" w:sz="0" w:space="0" w:color="auto"/>
      </w:divBdr>
    </w:div>
    <w:div w:id="1614512056">
      <w:bodyDiv w:val="1"/>
      <w:marLeft w:val="0"/>
      <w:marRight w:val="0"/>
      <w:marTop w:val="0"/>
      <w:marBottom w:val="0"/>
      <w:divBdr>
        <w:top w:val="none" w:sz="0" w:space="0" w:color="auto"/>
        <w:left w:val="none" w:sz="0" w:space="0" w:color="auto"/>
        <w:bottom w:val="none" w:sz="0" w:space="0" w:color="auto"/>
        <w:right w:val="none" w:sz="0" w:space="0" w:color="auto"/>
      </w:divBdr>
    </w:div>
    <w:div w:id="1655404686">
      <w:bodyDiv w:val="1"/>
      <w:marLeft w:val="0"/>
      <w:marRight w:val="0"/>
      <w:marTop w:val="0"/>
      <w:marBottom w:val="0"/>
      <w:divBdr>
        <w:top w:val="none" w:sz="0" w:space="0" w:color="auto"/>
        <w:left w:val="none" w:sz="0" w:space="0" w:color="auto"/>
        <w:bottom w:val="none" w:sz="0" w:space="0" w:color="auto"/>
        <w:right w:val="none" w:sz="0" w:space="0" w:color="auto"/>
      </w:divBdr>
    </w:div>
    <w:div w:id="1663389859">
      <w:bodyDiv w:val="1"/>
      <w:marLeft w:val="0"/>
      <w:marRight w:val="0"/>
      <w:marTop w:val="0"/>
      <w:marBottom w:val="0"/>
      <w:divBdr>
        <w:top w:val="none" w:sz="0" w:space="0" w:color="auto"/>
        <w:left w:val="none" w:sz="0" w:space="0" w:color="auto"/>
        <w:bottom w:val="none" w:sz="0" w:space="0" w:color="auto"/>
        <w:right w:val="none" w:sz="0" w:space="0" w:color="auto"/>
      </w:divBdr>
    </w:div>
    <w:div w:id="1693343180">
      <w:bodyDiv w:val="1"/>
      <w:marLeft w:val="0"/>
      <w:marRight w:val="0"/>
      <w:marTop w:val="0"/>
      <w:marBottom w:val="0"/>
      <w:divBdr>
        <w:top w:val="none" w:sz="0" w:space="0" w:color="auto"/>
        <w:left w:val="none" w:sz="0" w:space="0" w:color="auto"/>
        <w:bottom w:val="none" w:sz="0" w:space="0" w:color="auto"/>
        <w:right w:val="none" w:sz="0" w:space="0" w:color="auto"/>
      </w:divBdr>
    </w:div>
    <w:div w:id="1721710466">
      <w:bodyDiv w:val="1"/>
      <w:marLeft w:val="0"/>
      <w:marRight w:val="0"/>
      <w:marTop w:val="0"/>
      <w:marBottom w:val="0"/>
      <w:divBdr>
        <w:top w:val="none" w:sz="0" w:space="0" w:color="auto"/>
        <w:left w:val="none" w:sz="0" w:space="0" w:color="auto"/>
        <w:bottom w:val="none" w:sz="0" w:space="0" w:color="auto"/>
        <w:right w:val="none" w:sz="0" w:space="0" w:color="auto"/>
      </w:divBdr>
    </w:div>
    <w:div w:id="1726760098">
      <w:bodyDiv w:val="1"/>
      <w:marLeft w:val="0"/>
      <w:marRight w:val="0"/>
      <w:marTop w:val="0"/>
      <w:marBottom w:val="0"/>
      <w:divBdr>
        <w:top w:val="none" w:sz="0" w:space="0" w:color="auto"/>
        <w:left w:val="none" w:sz="0" w:space="0" w:color="auto"/>
        <w:bottom w:val="none" w:sz="0" w:space="0" w:color="auto"/>
        <w:right w:val="none" w:sz="0" w:space="0" w:color="auto"/>
      </w:divBdr>
    </w:div>
    <w:div w:id="1731879092">
      <w:bodyDiv w:val="1"/>
      <w:marLeft w:val="0"/>
      <w:marRight w:val="0"/>
      <w:marTop w:val="0"/>
      <w:marBottom w:val="0"/>
      <w:divBdr>
        <w:top w:val="none" w:sz="0" w:space="0" w:color="auto"/>
        <w:left w:val="none" w:sz="0" w:space="0" w:color="auto"/>
        <w:bottom w:val="none" w:sz="0" w:space="0" w:color="auto"/>
        <w:right w:val="none" w:sz="0" w:space="0" w:color="auto"/>
      </w:divBdr>
    </w:div>
    <w:div w:id="1768428102">
      <w:bodyDiv w:val="1"/>
      <w:marLeft w:val="0"/>
      <w:marRight w:val="0"/>
      <w:marTop w:val="0"/>
      <w:marBottom w:val="0"/>
      <w:divBdr>
        <w:top w:val="none" w:sz="0" w:space="0" w:color="auto"/>
        <w:left w:val="none" w:sz="0" w:space="0" w:color="auto"/>
        <w:bottom w:val="none" w:sz="0" w:space="0" w:color="auto"/>
        <w:right w:val="none" w:sz="0" w:space="0" w:color="auto"/>
      </w:divBdr>
    </w:div>
    <w:div w:id="1781561365">
      <w:bodyDiv w:val="1"/>
      <w:marLeft w:val="0"/>
      <w:marRight w:val="0"/>
      <w:marTop w:val="0"/>
      <w:marBottom w:val="0"/>
      <w:divBdr>
        <w:top w:val="none" w:sz="0" w:space="0" w:color="auto"/>
        <w:left w:val="none" w:sz="0" w:space="0" w:color="auto"/>
        <w:bottom w:val="none" w:sz="0" w:space="0" w:color="auto"/>
        <w:right w:val="none" w:sz="0" w:space="0" w:color="auto"/>
      </w:divBdr>
    </w:div>
    <w:div w:id="1792935447">
      <w:bodyDiv w:val="1"/>
      <w:marLeft w:val="0"/>
      <w:marRight w:val="0"/>
      <w:marTop w:val="0"/>
      <w:marBottom w:val="0"/>
      <w:divBdr>
        <w:top w:val="none" w:sz="0" w:space="0" w:color="auto"/>
        <w:left w:val="none" w:sz="0" w:space="0" w:color="auto"/>
        <w:bottom w:val="none" w:sz="0" w:space="0" w:color="auto"/>
        <w:right w:val="none" w:sz="0" w:space="0" w:color="auto"/>
      </w:divBdr>
    </w:div>
    <w:div w:id="1831288257">
      <w:bodyDiv w:val="1"/>
      <w:marLeft w:val="0"/>
      <w:marRight w:val="0"/>
      <w:marTop w:val="0"/>
      <w:marBottom w:val="0"/>
      <w:divBdr>
        <w:top w:val="none" w:sz="0" w:space="0" w:color="auto"/>
        <w:left w:val="none" w:sz="0" w:space="0" w:color="auto"/>
        <w:bottom w:val="none" w:sz="0" w:space="0" w:color="auto"/>
        <w:right w:val="none" w:sz="0" w:space="0" w:color="auto"/>
      </w:divBdr>
    </w:div>
    <w:div w:id="1857621201">
      <w:bodyDiv w:val="1"/>
      <w:marLeft w:val="0"/>
      <w:marRight w:val="0"/>
      <w:marTop w:val="0"/>
      <w:marBottom w:val="0"/>
      <w:divBdr>
        <w:top w:val="none" w:sz="0" w:space="0" w:color="auto"/>
        <w:left w:val="none" w:sz="0" w:space="0" w:color="auto"/>
        <w:bottom w:val="none" w:sz="0" w:space="0" w:color="auto"/>
        <w:right w:val="none" w:sz="0" w:space="0" w:color="auto"/>
      </w:divBdr>
    </w:div>
    <w:div w:id="1878395065">
      <w:bodyDiv w:val="1"/>
      <w:marLeft w:val="0"/>
      <w:marRight w:val="0"/>
      <w:marTop w:val="0"/>
      <w:marBottom w:val="0"/>
      <w:divBdr>
        <w:top w:val="none" w:sz="0" w:space="0" w:color="auto"/>
        <w:left w:val="none" w:sz="0" w:space="0" w:color="auto"/>
        <w:bottom w:val="none" w:sz="0" w:space="0" w:color="auto"/>
        <w:right w:val="none" w:sz="0" w:space="0" w:color="auto"/>
      </w:divBdr>
      <w:divsChild>
        <w:div w:id="535314683">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883057998">
      <w:bodyDiv w:val="1"/>
      <w:marLeft w:val="0"/>
      <w:marRight w:val="0"/>
      <w:marTop w:val="0"/>
      <w:marBottom w:val="0"/>
      <w:divBdr>
        <w:top w:val="none" w:sz="0" w:space="0" w:color="auto"/>
        <w:left w:val="none" w:sz="0" w:space="0" w:color="auto"/>
        <w:bottom w:val="none" w:sz="0" w:space="0" w:color="auto"/>
        <w:right w:val="none" w:sz="0" w:space="0" w:color="auto"/>
      </w:divBdr>
    </w:div>
    <w:div w:id="1971091248">
      <w:bodyDiv w:val="1"/>
      <w:marLeft w:val="0"/>
      <w:marRight w:val="0"/>
      <w:marTop w:val="0"/>
      <w:marBottom w:val="0"/>
      <w:divBdr>
        <w:top w:val="none" w:sz="0" w:space="0" w:color="auto"/>
        <w:left w:val="none" w:sz="0" w:space="0" w:color="auto"/>
        <w:bottom w:val="none" w:sz="0" w:space="0" w:color="auto"/>
        <w:right w:val="none" w:sz="0" w:space="0" w:color="auto"/>
      </w:divBdr>
    </w:div>
    <w:div w:id="1975988169">
      <w:bodyDiv w:val="1"/>
      <w:marLeft w:val="0"/>
      <w:marRight w:val="0"/>
      <w:marTop w:val="0"/>
      <w:marBottom w:val="0"/>
      <w:divBdr>
        <w:top w:val="none" w:sz="0" w:space="0" w:color="auto"/>
        <w:left w:val="none" w:sz="0" w:space="0" w:color="auto"/>
        <w:bottom w:val="none" w:sz="0" w:space="0" w:color="auto"/>
        <w:right w:val="none" w:sz="0" w:space="0" w:color="auto"/>
      </w:divBdr>
    </w:div>
    <w:div w:id="1998338709">
      <w:bodyDiv w:val="1"/>
      <w:marLeft w:val="0"/>
      <w:marRight w:val="0"/>
      <w:marTop w:val="0"/>
      <w:marBottom w:val="0"/>
      <w:divBdr>
        <w:top w:val="none" w:sz="0" w:space="0" w:color="auto"/>
        <w:left w:val="none" w:sz="0" w:space="0" w:color="auto"/>
        <w:bottom w:val="none" w:sz="0" w:space="0" w:color="auto"/>
        <w:right w:val="none" w:sz="0" w:space="0" w:color="auto"/>
      </w:divBdr>
    </w:div>
    <w:div w:id="2002387245">
      <w:bodyDiv w:val="1"/>
      <w:marLeft w:val="0"/>
      <w:marRight w:val="0"/>
      <w:marTop w:val="0"/>
      <w:marBottom w:val="0"/>
      <w:divBdr>
        <w:top w:val="none" w:sz="0" w:space="0" w:color="auto"/>
        <w:left w:val="none" w:sz="0" w:space="0" w:color="auto"/>
        <w:bottom w:val="none" w:sz="0" w:space="0" w:color="auto"/>
        <w:right w:val="none" w:sz="0" w:space="0" w:color="auto"/>
      </w:divBdr>
    </w:div>
    <w:div w:id="2006394039">
      <w:bodyDiv w:val="1"/>
      <w:marLeft w:val="0"/>
      <w:marRight w:val="0"/>
      <w:marTop w:val="0"/>
      <w:marBottom w:val="0"/>
      <w:divBdr>
        <w:top w:val="none" w:sz="0" w:space="0" w:color="auto"/>
        <w:left w:val="none" w:sz="0" w:space="0" w:color="auto"/>
        <w:bottom w:val="none" w:sz="0" w:space="0" w:color="auto"/>
        <w:right w:val="none" w:sz="0" w:space="0" w:color="auto"/>
      </w:divBdr>
    </w:div>
    <w:div w:id="2014216034">
      <w:bodyDiv w:val="1"/>
      <w:marLeft w:val="0"/>
      <w:marRight w:val="0"/>
      <w:marTop w:val="0"/>
      <w:marBottom w:val="0"/>
      <w:divBdr>
        <w:top w:val="none" w:sz="0" w:space="0" w:color="auto"/>
        <w:left w:val="none" w:sz="0" w:space="0" w:color="auto"/>
        <w:bottom w:val="none" w:sz="0" w:space="0" w:color="auto"/>
        <w:right w:val="none" w:sz="0" w:space="0" w:color="auto"/>
      </w:divBdr>
    </w:div>
    <w:div w:id="2024549088">
      <w:bodyDiv w:val="1"/>
      <w:marLeft w:val="0"/>
      <w:marRight w:val="0"/>
      <w:marTop w:val="0"/>
      <w:marBottom w:val="0"/>
      <w:divBdr>
        <w:top w:val="none" w:sz="0" w:space="0" w:color="auto"/>
        <w:left w:val="none" w:sz="0" w:space="0" w:color="auto"/>
        <w:bottom w:val="none" w:sz="0" w:space="0" w:color="auto"/>
        <w:right w:val="none" w:sz="0" w:space="0" w:color="auto"/>
      </w:divBdr>
    </w:div>
    <w:div w:id="2044819313">
      <w:bodyDiv w:val="1"/>
      <w:marLeft w:val="0"/>
      <w:marRight w:val="0"/>
      <w:marTop w:val="0"/>
      <w:marBottom w:val="0"/>
      <w:divBdr>
        <w:top w:val="none" w:sz="0" w:space="0" w:color="auto"/>
        <w:left w:val="none" w:sz="0" w:space="0" w:color="auto"/>
        <w:bottom w:val="none" w:sz="0" w:space="0" w:color="auto"/>
        <w:right w:val="none" w:sz="0" w:space="0" w:color="auto"/>
      </w:divBdr>
    </w:div>
    <w:div w:id="2052025214">
      <w:bodyDiv w:val="1"/>
      <w:marLeft w:val="0"/>
      <w:marRight w:val="0"/>
      <w:marTop w:val="0"/>
      <w:marBottom w:val="0"/>
      <w:divBdr>
        <w:top w:val="none" w:sz="0" w:space="0" w:color="auto"/>
        <w:left w:val="none" w:sz="0" w:space="0" w:color="auto"/>
        <w:bottom w:val="none" w:sz="0" w:space="0" w:color="auto"/>
        <w:right w:val="none" w:sz="0" w:space="0" w:color="auto"/>
      </w:divBdr>
    </w:div>
    <w:div w:id="2054501108">
      <w:bodyDiv w:val="1"/>
      <w:marLeft w:val="0"/>
      <w:marRight w:val="0"/>
      <w:marTop w:val="0"/>
      <w:marBottom w:val="0"/>
      <w:divBdr>
        <w:top w:val="none" w:sz="0" w:space="0" w:color="auto"/>
        <w:left w:val="none" w:sz="0" w:space="0" w:color="auto"/>
        <w:bottom w:val="none" w:sz="0" w:space="0" w:color="auto"/>
        <w:right w:val="none" w:sz="0" w:space="0" w:color="auto"/>
      </w:divBdr>
    </w:div>
    <w:div w:id="2071031846">
      <w:bodyDiv w:val="1"/>
      <w:marLeft w:val="0"/>
      <w:marRight w:val="0"/>
      <w:marTop w:val="0"/>
      <w:marBottom w:val="0"/>
      <w:divBdr>
        <w:top w:val="none" w:sz="0" w:space="0" w:color="auto"/>
        <w:left w:val="none" w:sz="0" w:space="0" w:color="auto"/>
        <w:bottom w:val="none" w:sz="0" w:space="0" w:color="auto"/>
        <w:right w:val="none" w:sz="0" w:space="0" w:color="auto"/>
      </w:divBdr>
    </w:div>
    <w:div w:id="2078087881">
      <w:bodyDiv w:val="1"/>
      <w:marLeft w:val="0"/>
      <w:marRight w:val="0"/>
      <w:marTop w:val="0"/>
      <w:marBottom w:val="0"/>
      <w:divBdr>
        <w:top w:val="none" w:sz="0" w:space="0" w:color="auto"/>
        <w:left w:val="none" w:sz="0" w:space="0" w:color="auto"/>
        <w:bottom w:val="none" w:sz="0" w:space="0" w:color="auto"/>
        <w:right w:val="none" w:sz="0" w:space="0" w:color="auto"/>
      </w:divBdr>
    </w:div>
    <w:div w:id="2081245758">
      <w:bodyDiv w:val="1"/>
      <w:marLeft w:val="0"/>
      <w:marRight w:val="0"/>
      <w:marTop w:val="0"/>
      <w:marBottom w:val="0"/>
      <w:divBdr>
        <w:top w:val="none" w:sz="0" w:space="0" w:color="auto"/>
        <w:left w:val="none" w:sz="0" w:space="0" w:color="auto"/>
        <w:bottom w:val="none" w:sz="0" w:space="0" w:color="auto"/>
        <w:right w:val="none" w:sz="0" w:space="0" w:color="auto"/>
      </w:divBdr>
    </w:div>
    <w:div w:id="211590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1994</Words>
  <Characters>11366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Muralidaran</dc:creator>
  <cp:keywords/>
  <dc:description/>
  <cp:lastModifiedBy>S Muralidaran</cp:lastModifiedBy>
  <cp:revision>4</cp:revision>
  <dcterms:created xsi:type="dcterms:W3CDTF">2020-07-01T10:37:00Z</dcterms:created>
  <dcterms:modified xsi:type="dcterms:W3CDTF">2020-07-01T15:56:00Z</dcterms:modified>
</cp:coreProperties>
</file>